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34D9" w14:textId="58AB4BB2" w:rsidR="00613D4F" w:rsidRDefault="00DD6D7C" w:rsidP="00BA0F3E">
      <w:pPr>
        <w:jc w:val="right"/>
      </w:pPr>
      <w:r>
        <w:rPr>
          <w:noProof/>
        </w:rPr>
        <w:drawing>
          <wp:anchor distT="0" distB="0" distL="114300" distR="114300" simplePos="0" relativeHeight="251667456" behindDoc="0" locked="0" layoutInCell="1" allowOverlap="1" wp14:anchorId="5AFA77BB" wp14:editId="20045C26">
            <wp:simplePos x="0" y="0"/>
            <wp:positionH relativeFrom="column">
              <wp:posOffset>-95250</wp:posOffset>
            </wp:positionH>
            <wp:positionV relativeFrom="paragraph">
              <wp:posOffset>0</wp:posOffset>
            </wp:positionV>
            <wp:extent cx="1206500" cy="1168400"/>
            <wp:effectExtent l="0" t="0" r="0" b="0"/>
            <wp:wrapSquare wrapText="bothSides"/>
            <wp:docPr id="4" name="Picture 4" descr="Lower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r Fa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484424704"/>
        <w:docPartObj>
          <w:docPartGallery w:val="Cover Pages"/>
          <w:docPartUnique/>
        </w:docPartObj>
      </w:sdtPr>
      <w:sdtEndPr/>
      <w:sdtContent>
        <w:p w14:paraId="321B104F" w14:textId="4F7D430B" w:rsidR="00BA0F3E" w:rsidRDefault="00BA0F3E" w:rsidP="00BA0F3E">
          <w:pPr>
            <w:jc w:val="right"/>
          </w:pPr>
          <w:r>
            <w:rPr>
              <w:noProof/>
              <w:lang w:eastAsia="en-GB"/>
            </w:rPr>
            <w:drawing>
              <wp:anchor distT="0" distB="0" distL="114300" distR="114300" simplePos="0" relativeHeight="251662336" behindDoc="1" locked="0" layoutInCell="1" allowOverlap="1" wp14:anchorId="3EEA370C" wp14:editId="09512F2D">
                <wp:simplePos x="0" y="0"/>
                <wp:positionH relativeFrom="column">
                  <wp:posOffset>4419600</wp:posOffset>
                </wp:positionH>
                <wp:positionV relativeFrom="paragraph">
                  <wp:posOffset>-476250</wp:posOffset>
                </wp:positionV>
                <wp:extent cx="1781175" cy="1152525"/>
                <wp:effectExtent l="0" t="0" r="9525" b="9525"/>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BA0F3E" w14:paraId="7313A4C0"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3C851F21" w14:textId="77777777" w:rsidR="00BA0F3E" w:rsidRDefault="00BA0F3E" w:rsidP="00BA0F3E">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FE626F0" w14:textId="77777777" w:rsidR="00BA0F3E" w:rsidRDefault="00BA0F3E" w:rsidP="00BA0F3E">
                <w:pPr>
                  <w:tabs>
                    <w:tab w:val="left" w:pos="3510"/>
                  </w:tabs>
                  <w:rPr>
                    <w:rFonts w:cstheme="minorHAnsi"/>
                    <w:color w:val="000000" w:themeColor="text1"/>
                  </w:rPr>
                </w:pPr>
                <w:r>
                  <w:rPr>
                    <w:rFonts w:cstheme="minorHAnsi"/>
                    <w:color w:val="000000" w:themeColor="text1"/>
                  </w:rPr>
                  <w:t>Parents</w:t>
                </w:r>
              </w:p>
              <w:p w14:paraId="3B70BD86" w14:textId="32D7A78C" w:rsidR="00BA0F3E" w:rsidRPr="00A43801" w:rsidRDefault="00BA0F3E" w:rsidP="00A43801">
                <w:pPr>
                  <w:tabs>
                    <w:tab w:val="left" w:pos="3510"/>
                  </w:tabs>
                  <w:rPr>
                    <w:color w:val="000000" w:themeColor="text1"/>
                  </w:rPr>
                </w:pPr>
                <w:r>
                  <w:rPr>
                    <w:rFonts w:cstheme="minorHAnsi"/>
                    <w:color w:val="000000" w:themeColor="text1"/>
                  </w:rPr>
                  <w:t xml:space="preserve">School staff </w:t>
                </w:r>
                <w:r w:rsidR="00A43801">
                  <w:rPr>
                    <w:rFonts w:cstheme="minorHAnsi"/>
                    <w:color w:val="000000" w:themeColor="text1"/>
                  </w:rPr>
                  <w:t xml:space="preserve">/ </w:t>
                </w:r>
                <w:r w:rsidR="00A43801">
                  <w:rPr>
                    <w:color w:val="000000" w:themeColor="text1"/>
                  </w:rPr>
                  <w:t>Central Team / All REAch2 Employees</w:t>
                </w:r>
              </w:p>
              <w:p w14:paraId="6F238CBA" w14:textId="77777777" w:rsidR="00BA0F3E" w:rsidRDefault="00BA0F3E" w:rsidP="00BA0F3E">
                <w:pPr>
                  <w:tabs>
                    <w:tab w:val="left" w:pos="3510"/>
                  </w:tabs>
                  <w:rPr>
                    <w:rFonts w:cstheme="minorHAnsi"/>
                    <w:color w:val="000000" w:themeColor="text1"/>
                  </w:rPr>
                </w:pPr>
                <w:r>
                  <w:rPr>
                    <w:rFonts w:cstheme="minorHAnsi"/>
                    <w:color w:val="000000" w:themeColor="text1"/>
                  </w:rPr>
                  <w:t>Local Governing Bodies</w:t>
                </w:r>
              </w:p>
              <w:p w14:paraId="41DAAD9D" w14:textId="77777777" w:rsidR="00BA0F3E" w:rsidRDefault="00BA0F3E" w:rsidP="00BA0F3E">
                <w:pPr>
                  <w:tabs>
                    <w:tab w:val="left" w:pos="3510"/>
                  </w:tabs>
                  <w:rPr>
                    <w:rFonts w:cstheme="minorHAnsi"/>
                    <w:color w:val="000000" w:themeColor="text1"/>
                  </w:rPr>
                </w:pPr>
                <w:r>
                  <w:rPr>
                    <w:rFonts w:cstheme="minorHAnsi"/>
                    <w:color w:val="000000" w:themeColor="text1"/>
                  </w:rPr>
                  <w:t>Cluster Boards</w:t>
                </w:r>
              </w:p>
              <w:p w14:paraId="7B8D3413" w14:textId="442C2F24" w:rsidR="00BA0F3E" w:rsidRPr="00CA15F5" w:rsidRDefault="00BA0F3E" w:rsidP="00A43801">
                <w:pPr>
                  <w:tabs>
                    <w:tab w:val="left" w:pos="3510"/>
                  </w:tabs>
                  <w:rPr>
                    <w:rFonts w:cstheme="minorHAnsi"/>
                    <w:color w:val="000000" w:themeColor="text1"/>
                  </w:rPr>
                </w:pPr>
                <w:r>
                  <w:rPr>
                    <w:rFonts w:cstheme="minorHAnsi"/>
                    <w:color w:val="000000" w:themeColor="text1"/>
                  </w:rPr>
                  <w:t>Trustees</w:t>
                </w:r>
              </w:p>
            </w:tc>
          </w:tr>
          <w:tr w:rsidR="00BA0F3E" w14:paraId="48152E1D" w14:textId="77777777" w:rsidTr="004831A2">
            <w:trPr>
              <w:trHeight w:val="759"/>
            </w:trPr>
            <w:tc>
              <w:tcPr>
                <w:tcW w:w="2565" w:type="dxa"/>
                <w:tcBorders>
                  <w:top w:val="single" w:sz="4" w:space="0" w:color="auto"/>
                  <w:left w:val="single" w:sz="4" w:space="0" w:color="auto"/>
                  <w:bottom w:val="single" w:sz="4" w:space="0" w:color="auto"/>
                  <w:right w:val="single" w:sz="4" w:space="0" w:color="auto"/>
                </w:tcBorders>
                <w:vAlign w:val="center"/>
                <w:hideMark/>
              </w:tcPr>
              <w:p w14:paraId="53A450A9" w14:textId="77777777" w:rsidR="00BA0F3E" w:rsidRDefault="00BA0F3E" w:rsidP="00BA0F3E">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14:paraId="4F3BE6E1" w14:textId="11A5EB44" w:rsidR="00BA0F3E" w:rsidRPr="00A64D9D" w:rsidRDefault="00F70951" w:rsidP="00BA0F3E">
                <w:pPr>
                  <w:tabs>
                    <w:tab w:val="left" w:pos="3510"/>
                  </w:tabs>
                  <w:rPr>
                    <w:color w:val="000000" w:themeColor="text1"/>
                  </w:rPr>
                </w:pPr>
                <w:r>
                  <w:rPr>
                    <w:color w:val="000000" w:themeColor="text1"/>
                  </w:rPr>
                  <w:t>1</w:t>
                </w:r>
                <w:r w:rsidRPr="00F70951">
                  <w:rPr>
                    <w:color w:val="000000" w:themeColor="text1"/>
                    <w:vertAlign w:val="superscript"/>
                  </w:rPr>
                  <w:t>st</w:t>
                </w:r>
                <w:r>
                  <w:rPr>
                    <w:color w:val="000000" w:themeColor="text1"/>
                  </w:rPr>
                  <w:t xml:space="preserve"> October 2020</w:t>
                </w:r>
                <w:r>
                  <w:rPr>
                    <w:color w:val="000000" w:themeColor="text1"/>
                  </w:rPr>
                  <w:br/>
                  <w:t>by REAch2 Finance Committee</w:t>
                </w:r>
              </w:p>
            </w:tc>
          </w:tr>
          <w:tr w:rsidR="00BA0F3E" w14:paraId="361340E7" w14:textId="77777777" w:rsidTr="004831A2">
            <w:trPr>
              <w:trHeight w:val="1773"/>
            </w:trPr>
            <w:tc>
              <w:tcPr>
                <w:tcW w:w="2565" w:type="dxa"/>
                <w:tcBorders>
                  <w:top w:val="single" w:sz="4" w:space="0" w:color="auto"/>
                  <w:left w:val="single" w:sz="4" w:space="0" w:color="auto"/>
                  <w:bottom w:val="single" w:sz="4" w:space="0" w:color="auto"/>
                  <w:right w:val="single" w:sz="4" w:space="0" w:color="auto"/>
                </w:tcBorders>
                <w:vAlign w:val="center"/>
                <w:hideMark/>
              </w:tcPr>
              <w:p w14:paraId="6F96E958" w14:textId="77777777" w:rsidR="00BA0F3E" w:rsidRDefault="00BA0F3E" w:rsidP="00BA0F3E">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668778FE" w14:textId="0E9D3265" w:rsidR="004831A2" w:rsidRPr="004831A2" w:rsidRDefault="00CA15F5" w:rsidP="004831A2">
                <w:pPr>
                  <w:tabs>
                    <w:tab w:val="left" w:pos="3510"/>
                  </w:tabs>
                  <w:spacing w:after="0"/>
                  <w:rPr>
                    <w:color w:val="000000" w:themeColor="text1"/>
                  </w:rPr>
                </w:pPr>
                <w:r>
                  <w:rPr>
                    <w:color w:val="000000" w:themeColor="text1"/>
                  </w:rPr>
                  <w:t>Information Security</w:t>
                </w:r>
                <w:r w:rsidR="004831A2" w:rsidRPr="004831A2">
                  <w:rPr>
                    <w:color w:val="000000" w:themeColor="text1"/>
                  </w:rPr>
                  <w:t xml:space="preserve"> Policy </w:t>
                </w:r>
              </w:p>
              <w:p w14:paraId="76399358" w14:textId="77777777" w:rsidR="004831A2" w:rsidRPr="004831A2" w:rsidRDefault="004831A2" w:rsidP="004831A2">
                <w:pPr>
                  <w:tabs>
                    <w:tab w:val="left" w:pos="3510"/>
                  </w:tabs>
                  <w:spacing w:after="0"/>
                  <w:rPr>
                    <w:color w:val="000000" w:themeColor="text1"/>
                  </w:rPr>
                </w:pPr>
                <w:r w:rsidRPr="004831A2">
                  <w:rPr>
                    <w:color w:val="000000" w:themeColor="text1"/>
                  </w:rPr>
                  <w:t>Anti-Fraud, Bribery and Corruption Policy</w:t>
                </w:r>
              </w:p>
              <w:p w14:paraId="19D68677" w14:textId="77777777" w:rsidR="004831A2" w:rsidRPr="004831A2" w:rsidRDefault="004831A2" w:rsidP="004831A2">
                <w:pPr>
                  <w:tabs>
                    <w:tab w:val="left" w:pos="3510"/>
                  </w:tabs>
                  <w:spacing w:after="0"/>
                  <w:rPr>
                    <w:color w:val="000000" w:themeColor="text1"/>
                  </w:rPr>
                </w:pPr>
                <w:r w:rsidRPr="004831A2">
                  <w:rPr>
                    <w:color w:val="000000" w:themeColor="text1"/>
                  </w:rPr>
                  <w:t>Complaints Policy</w:t>
                </w:r>
              </w:p>
              <w:p w14:paraId="55F1417F" w14:textId="77777777" w:rsidR="004831A2" w:rsidRPr="004831A2" w:rsidRDefault="004831A2" w:rsidP="004831A2">
                <w:pPr>
                  <w:tabs>
                    <w:tab w:val="left" w:pos="3510"/>
                  </w:tabs>
                  <w:spacing w:after="0"/>
                  <w:rPr>
                    <w:color w:val="000000" w:themeColor="text1"/>
                  </w:rPr>
                </w:pPr>
                <w:r w:rsidRPr="004831A2">
                  <w:rPr>
                    <w:color w:val="000000" w:themeColor="text1"/>
                  </w:rPr>
                  <w:t>Conflicts of Interest Policy</w:t>
                </w:r>
              </w:p>
              <w:p w14:paraId="0B82DADE" w14:textId="2362A00D" w:rsidR="00613D4F" w:rsidRDefault="004831A2" w:rsidP="00BA0F3E">
                <w:pPr>
                  <w:tabs>
                    <w:tab w:val="left" w:pos="3510"/>
                  </w:tabs>
                  <w:rPr>
                    <w:color w:val="000000" w:themeColor="text1"/>
                  </w:rPr>
                </w:pPr>
                <w:r w:rsidRPr="004831A2">
                  <w:rPr>
                    <w:color w:val="000000" w:themeColor="text1"/>
                  </w:rPr>
                  <w:t>Charging and remissions Policy</w:t>
                </w:r>
                <w:r w:rsidR="00AA5E46">
                  <w:rPr>
                    <w:color w:val="000000" w:themeColor="text1"/>
                  </w:rPr>
                  <w:br/>
                </w:r>
                <w:r w:rsidR="00613D4F">
                  <w:rPr>
                    <w:color w:val="000000" w:themeColor="text1"/>
                  </w:rPr>
                  <w:t>Whistleblowing</w:t>
                </w:r>
              </w:p>
            </w:tc>
          </w:tr>
          <w:tr w:rsidR="00BA0F3E" w14:paraId="00754BDF"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BADB7FC" w14:textId="77777777" w:rsidR="00BA0F3E" w:rsidRDefault="00BA0F3E" w:rsidP="00BA0F3E">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277FEC2" w14:textId="206B6586" w:rsidR="00BA0F3E" w:rsidRDefault="004831A2" w:rsidP="00BA0F3E">
                <w:pPr>
                  <w:tabs>
                    <w:tab w:val="left" w:pos="3510"/>
                  </w:tabs>
                </w:pPr>
                <w:r>
                  <w:t>Chris Perry, Head of Finance, REAch2</w:t>
                </w:r>
              </w:p>
            </w:tc>
          </w:tr>
          <w:tr w:rsidR="00BA0F3E" w14:paraId="11305FD5"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EEC5300" w14:textId="77777777" w:rsidR="00BA0F3E" w:rsidRDefault="00BA0F3E" w:rsidP="00BA0F3E">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B38E830" w14:textId="31EF0648" w:rsidR="00BA0F3E" w:rsidRDefault="004831A2" w:rsidP="00BA0F3E">
                <w:pPr>
                  <w:tabs>
                    <w:tab w:val="left" w:pos="3510"/>
                  </w:tabs>
                </w:pPr>
                <w:r>
                  <w:t>Every 3 years</w:t>
                </w:r>
              </w:p>
            </w:tc>
          </w:tr>
        </w:tbl>
        <w:p w14:paraId="06CFB231" w14:textId="5902BA20" w:rsidR="00BA0F3E" w:rsidRDefault="00BA0F3E">
          <w:r>
            <w:rPr>
              <w:noProof/>
              <w:lang w:eastAsia="en-GB"/>
            </w:rPr>
            <mc:AlternateContent>
              <mc:Choice Requires="wps">
                <w:drawing>
                  <wp:anchor distT="0" distB="0" distL="182880" distR="182880" simplePos="0" relativeHeight="251661312" behindDoc="0" locked="0" layoutInCell="1" allowOverlap="1" wp14:anchorId="5D5A960C" wp14:editId="661DCEF2">
                    <wp:simplePos x="0" y="0"/>
                    <wp:positionH relativeFrom="margin">
                      <wp:posOffset>-847725</wp:posOffset>
                    </wp:positionH>
                    <wp:positionV relativeFrom="page">
                      <wp:posOffset>3603435</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8006C" w14:textId="5671670D" w:rsidR="00BA0F3E" w:rsidRPr="00461DEF" w:rsidRDefault="00613D4F" w:rsidP="00BA0F3E">
                                <w:pPr>
                                  <w:pStyle w:val="NoSpacing"/>
                                  <w:spacing w:before="40" w:after="560" w:line="216" w:lineRule="auto"/>
                                  <w:jc w:val="center"/>
                                  <w:rPr>
                                    <w:rFonts w:cstheme="minorHAnsi"/>
                                    <w:sz w:val="80"/>
                                    <w:szCs w:val="80"/>
                                  </w:rPr>
                                </w:pPr>
                                <w:r>
                                  <w:rPr>
                                    <w:rFonts w:cstheme="minorHAnsi"/>
                                    <w:sz w:val="80"/>
                                    <w:szCs w:val="80"/>
                                  </w:rPr>
                                  <w:t xml:space="preserve">Donations </w:t>
                                </w:r>
                                <w:r w:rsidR="00415E85">
                                  <w:rPr>
                                    <w:rFonts w:cstheme="minorHAnsi"/>
                                    <w:sz w:val="80"/>
                                    <w:szCs w:val="80"/>
                                  </w:rPr>
                                  <w:t xml:space="preserve">and </w:t>
                                </w:r>
                                <w:r w:rsidR="00415E85">
                                  <w:rPr>
                                    <w:rFonts w:cstheme="minorHAnsi"/>
                                    <w:sz w:val="80"/>
                                    <w:szCs w:val="80"/>
                                  </w:rPr>
                                  <w:br/>
                                  <w:t>Fundraising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D5A960C" id="_x0000_t202" coordsize="21600,21600" o:spt="202" path="m,l,21600r21600,l21600,xe">
                    <v:stroke joinstyle="miter"/>
                    <v:path gradientshapeok="t" o:connecttype="rect"/>
                  </v:shapetype>
                  <v:shape id="Text Box 131" o:spid="_x0000_s1026" type="#_x0000_t202" style="position:absolute;margin-left:-66.75pt;margin-top:283.75pt;width:585pt;height:529.2pt;z-index:25166131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" filled="f" stroked="f" strokeweight=".5pt">
                    <v:textbox style="mso-fit-shape-to-text:t" inset="0,0,0,0">
                      <w:txbxContent>
                        <w:p w14:paraId="2DA8006C" w14:textId="5671670D" w:rsidR="00BA0F3E" w:rsidRPr="00461DEF" w:rsidRDefault="00613D4F" w:rsidP="00BA0F3E">
                          <w:pPr>
                            <w:pStyle w:val="NoSpacing"/>
                            <w:spacing w:before="40" w:after="560" w:line="216" w:lineRule="auto"/>
                            <w:jc w:val="center"/>
                            <w:rPr>
                              <w:rFonts w:cstheme="minorHAnsi"/>
                              <w:sz w:val="80"/>
                              <w:szCs w:val="80"/>
                            </w:rPr>
                          </w:pPr>
                          <w:r>
                            <w:rPr>
                              <w:rFonts w:cstheme="minorHAnsi"/>
                              <w:sz w:val="80"/>
                              <w:szCs w:val="80"/>
                            </w:rPr>
                            <w:t xml:space="preserve">Donations </w:t>
                          </w:r>
                          <w:r w:rsidR="00415E85">
                            <w:rPr>
                              <w:rFonts w:cstheme="minorHAnsi"/>
                              <w:sz w:val="80"/>
                              <w:szCs w:val="80"/>
                            </w:rPr>
                            <w:t xml:space="preserve">and </w:t>
                          </w:r>
                          <w:r w:rsidR="00415E85">
                            <w:rPr>
                              <w:rFonts w:cstheme="minorHAnsi"/>
                              <w:sz w:val="80"/>
                              <w:szCs w:val="80"/>
                            </w:rPr>
                            <w:br/>
                            <w:t>Fundraising Policy</w:t>
                          </w:r>
                        </w:p>
                      </w:txbxContent>
                    </v:textbox>
                    <w10:wrap type="square" anchorx="margin" anchory="page"/>
                  </v:shape>
                </w:pict>
              </mc:Fallback>
            </mc:AlternateContent>
          </w:r>
          <w:r>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4F52FED5" w14:textId="77777777" w:rsidTr="00490A1A">
        <w:tc>
          <w:tcPr>
            <w:tcW w:w="5810" w:type="dxa"/>
          </w:tcPr>
          <w:p w14:paraId="2A33CCC6" w14:textId="07D916D8" w:rsidR="00490A1A" w:rsidRDefault="00490A1A">
            <w:pPr>
              <w:rPr>
                <w:rFonts w:asciiTheme="majorHAnsi" w:eastAsia="Times New Roman" w:hAnsiTheme="majorHAnsi" w:cstheme="majorHAnsi"/>
                <w:sz w:val="36"/>
                <w:szCs w:val="36"/>
                <w:highlight w:val="yellow"/>
                <w:lang w:eastAsia="en-GB"/>
              </w:rPr>
            </w:pPr>
          </w:p>
          <w:p w14:paraId="2E4E133E" w14:textId="044502E6" w:rsidR="00BA0F3E" w:rsidRDefault="00BA0F3E">
            <w:pPr>
              <w:rPr>
                <w:rFonts w:asciiTheme="majorHAnsi" w:eastAsia="Times New Roman" w:hAnsiTheme="majorHAnsi" w:cstheme="majorHAnsi"/>
                <w:sz w:val="36"/>
                <w:szCs w:val="36"/>
                <w:highlight w:val="yellow"/>
                <w:lang w:eastAsia="en-GB"/>
              </w:rPr>
            </w:pPr>
          </w:p>
          <w:p w14:paraId="668CEF12" w14:textId="77777777" w:rsidR="00BA0F3E" w:rsidRDefault="00BA0F3E">
            <w:pPr>
              <w:rPr>
                <w:rFonts w:asciiTheme="majorHAnsi" w:eastAsia="Times New Roman" w:hAnsiTheme="majorHAnsi" w:cstheme="majorHAnsi"/>
                <w:sz w:val="36"/>
                <w:szCs w:val="36"/>
                <w:highlight w:val="yellow"/>
                <w:lang w:eastAsia="en-GB"/>
              </w:rPr>
            </w:pPr>
          </w:p>
          <w:p w14:paraId="20439A34" w14:textId="77777777" w:rsidR="00490A1A" w:rsidRDefault="00490A1A">
            <w:pPr>
              <w:rPr>
                <w:rFonts w:asciiTheme="majorHAnsi" w:eastAsia="Times New Roman" w:hAnsiTheme="majorHAnsi" w:cstheme="majorHAnsi"/>
                <w:sz w:val="36"/>
                <w:szCs w:val="36"/>
                <w:highlight w:val="yellow"/>
                <w:lang w:eastAsia="en-GB"/>
              </w:rPr>
            </w:pPr>
          </w:p>
          <w:p w14:paraId="5C7F814C" w14:textId="77777777" w:rsidR="00490A1A" w:rsidRDefault="00490A1A">
            <w:pPr>
              <w:rPr>
                <w:rFonts w:asciiTheme="majorHAnsi" w:eastAsia="Times New Roman" w:hAnsiTheme="majorHAnsi" w:cstheme="majorHAnsi"/>
                <w:sz w:val="36"/>
                <w:szCs w:val="36"/>
                <w:highlight w:val="yellow"/>
                <w:lang w:eastAsia="en-GB"/>
              </w:rPr>
            </w:pPr>
          </w:p>
          <w:p w14:paraId="1224A7F9" w14:textId="77777777" w:rsidR="00490A1A" w:rsidRPr="00490A1A" w:rsidRDefault="00490A1A" w:rsidP="00A43801">
            <w:pPr>
              <w:pStyle w:val="Heading2"/>
              <w:outlineLvl w:val="1"/>
              <w:rPr>
                <w:rFonts w:eastAsia="Times New Roman" w:cs="Arial"/>
                <w:sz w:val="36"/>
                <w:szCs w:val="36"/>
                <w:highlight w:val="yellow"/>
                <w:lang w:eastAsia="en-GB"/>
              </w:rPr>
            </w:pPr>
          </w:p>
        </w:tc>
        <w:tc>
          <w:tcPr>
            <w:tcW w:w="3216" w:type="dxa"/>
            <w:hideMark/>
          </w:tcPr>
          <w:p w14:paraId="234CAB43"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8240" behindDoc="1" locked="0" layoutInCell="1" allowOverlap="1" wp14:anchorId="1D09F2A2" wp14:editId="21AE04B3">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0714E2" w14:textId="2C25155F" w:rsidR="00490A1A" w:rsidRDefault="00490A1A" w:rsidP="00490A1A">
      <w:pPr>
        <w:spacing w:after="0"/>
        <w:rPr>
          <w:rFonts w:eastAsia="Times New Roman" w:cs="Arial"/>
          <w:lang w:eastAsia="en-GB"/>
        </w:rPr>
      </w:pPr>
      <w:r>
        <w:rPr>
          <w:rFonts w:eastAsia="Times New Roman" w:cs="Arial"/>
          <w:lang w:eastAsia="en-GB"/>
        </w:rPr>
        <w:t>At REAch2, our actions and our intentions as school leaders are guided by our Touchstones</w:t>
      </w:r>
      <w:r w:rsidR="00583780">
        <w:rPr>
          <w:rFonts w:eastAsia="Times New Roman" w:cs="Arial"/>
          <w:lang w:eastAsia="en-GB"/>
        </w:rPr>
        <w:t xml:space="preserve">. </w:t>
      </w:r>
    </w:p>
    <w:p w14:paraId="30B90455" w14:textId="42AA0B75" w:rsidR="00490A1A" w:rsidRDefault="00490A1A" w:rsidP="00490A1A">
      <w:pPr>
        <w:spacing w:after="0"/>
        <w:rPr>
          <w:rFonts w:eastAsia="Times New Roman" w:cs="Arial"/>
          <w:lang w:eastAsia="en-GB"/>
        </w:rPr>
      </w:pPr>
    </w:p>
    <w:p w14:paraId="10866DEF" w14:textId="77777777" w:rsidR="00577F84" w:rsidRDefault="00577F84" w:rsidP="00490A1A">
      <w:pPr>
        <w:spacing w:after="0"/>
        <w:rPr>
          <w:rFonts w:eastAsia="Times New Roman"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14:paraId="6D2D74A3" w14:textId="77777777" w:rsidTr="00490A1A">
        <w:tc>
          <w:tcPr>
            <w:tcW w:w="1809" w:type="dxa"/>
          </w:tcPr>
          <w:p w14:paraId="44E80FBD"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Integrity </w:t>
            </w:r>
          </w:p>
          <w:p w14:paraId="15B09DDB" w14:textId="77777777" w:rsidR="00490A1A" w:rsidRDefault="00490A1A">
            <w:pPr>
              <w:ind w:firstLine="720"/>
              <w:rPr>
                <w:rFonts w:eastAsia="Times New Roman" w:cs="Arial"/>
                <w:color w:val="2F5496" w:themeColor="accent1" w:themeShade="BF"/>
                <w:lang w:eastAsia="en-GB"/>
              </w:rPr>
            </w:pPr>
          </w:p>
        </w:tc>
        <w:tc>
          <w:tcPr>
            <w:tcW w:w="7513" w:type="dxa"/>
          </w:tcPr>
          <w:p w14:paraId="33A48605" w14:textId="77777777" w:rsidR="00490A1A" w:rsidRDefault="00490A1A">
            <w:pPr>
              <w:jc w:val="both"/>
              <w:rPr>
                <w:rFonts w:eastAsia="Times New Roman" w:cs="Arial"/>
                <w:lang w:eastAsia="en-GB"/>
              </w:rPr>
            </w:pPr>
            <w:r>
              <w:rPr>
                <w:rFonts w:eastAsia="Times New Roman" w:cs="Arial"/>
                <w:lang w:eastAsia="en-GB"/>
              </w:rPr>
              <w:t xml:space="preserve">We recognise that we lead by example and if we want children to grow up to behave appropriately and with integrity then we must model this behaviour </w:t>
            </w:r>
          </w:p>
          <w:p w14:paraId="49B62EC7" w14:textId="77777777" w:rsidR="00490A1A" w:rsidRDefault="00490A1A">
            <w:pPr>
              <w:jc w:val="both"/>
              <w:rPr>
                <w:rFonts w:eastAsia="Times New Roman" w:cs="Arial"/>
                <w:lang w:eastAsia="en-GB"/>
              </w:rPr>
            </w:pPr>
          </w:p>
        </w:tc>
      </w:tr>
      <w:tr w:rsidR="00490A1A" w14:paraId="7783A492" w14:textId="77777777" w:rsidTr="00490A1A">
        <w:tc>
          <w:tcPr>
            <w:tcW w:w="1809" w:type="dxa"/>
          </w:tcPr>
          <w:p w14:paraId="03E08415"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Responsibility </w:t>
            </w:r>
          </w:p>
          <w:p w14:paraId="5737DEA3" w14:textId="77777777" w:rsidR="00490A1A" w:rsidRDefault="00490A1A">
            <w:pPr>
              <w:rPr>
                <w:rFonts w:eastAsia="Times New Roman" w:cs="Arial"/>
                <w:color w:val="2F5496" w:themeColor="accent1" w:themeShade="BF"/>
                <w:lang w:eastAsia="en-GB"/>
              </w:rPr>
            </w:pPr>
          </w:p>
        </w:tc>
        <w:tc>
          <w:tcPr>
            <w:tcW w:w="7513" w:type="dxa"/>
          </w:tcPr>
          <w:p w14:paraId="1564F839" w14:textId="77777777" w:rsidR="00490A1A" w:rsidRDefault="00490A1A">
            <w:pPr>
              <w:jc w:val="both"/>
              <w:rPr>
                <w:rFonts w:eastAsia="Times New Roman" w:cs="Arial"/>
                <w:lang w:eastAsia="en-GB"/>
              </w:rPr>
            </w:pPr>
            <w:r>
              <w:rPr>
                <w:rFonts w:eastAsia="Times New Roman" w:cs="Arial"/>
                <w:lang w:eastAsia="en-GB"/>
              </w:rPr>
              <w:t xml:space="preserve">We act judiciously with sensitivity and care. We don’t make excuses, but mindfully answer for actions and continually seek to make improvements </w:t>
            </w:r>
          </w:p>
          <w:p w14:paraId="5D93507D" w14:textId="77777777" w:rsidR="00490A1A" w:rsidRDefault="00490A1A">
            <w:pPr>
              <w:jc w:val="both"/>
              <w:rPr>
                <w:rFonts w:eastAsia="Times New Roman" w:cs="Arial"/>
                <w:lang w:eastAsia="en-GB"/>
              </w:rPr>
            </w:pPr>
          </w:p>
        </w:tc>
      </w:tr>
      <w:tr w:rsidR="00490A1A" w14:paraId="38CAE74D" w14:textId="77777777" w:rsidTr="00490A1A">
        <w:tc>
          <w:tcPr>
            <w:tcW w:w="1809" w:type="dxa"/>
          </w:tcPr>
          <w:p w14:paraId="104D7B17"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Inclusion </w:t>
            </w:r>
          </w:p>
          <w:p w14:paraId="0777D330" w14:textId="77777777" w:rsidR="00490A1A" w:rsidRDefault="00490A1A">
            <w:pPr>
              <w:rPr>
                <w:rFonts w:eastAsia="Times New Roman" w:cs="Arial"/>
                <w:color w:val="2F5496" w:themeColor="accent1" w:themeShade="BF"/>
                <w:lang w:eastAsia="en-GB"/>
              </w:rPr>
            </w:pPr>
          </w:p>
        </w:tc>
        <w:tc>
          <w:tcPr>
            <w:tcW w:w="7513" w:type="dxa"/>
          </w:tcPr>
          <w:p w14:paraId="1AED83E6" w14:textId="77777777" w:rsidR="00490A1A" w:rsidRDefault="00490A1A">
            <w:pPr>
              <w:jc w:val="both"/>
              <w:rPr>
                <w:rFonts w:eastAsia="Times New Roman" w:cs="Arial"/>
                <w:lang w:eastAsia="en-GB"/>
              </w:rPr>
            </w:pPr>
            <w:r>
              <w:rPr>
                <w:rFonts w:eastAsia="Times New Roman" w:cs="Arial"/>
                <w:lang w:eastAsia="en-GB"/>
              </w:rPr>
              <w:t xml:space="preserve">We acknowledge and celebrate that all people are different and can play a role in the REAch2 family whatever their background or learning style </w:t>
            </w:r>
          </w:p>
          <w:p w14:paraId="24E9CF85" w14:textId="77777777" w:rsidR="00490A1A" w:rsidRDefault="00490A1A">
            <w:pPr>
              <w:jc w:val="both"/>
              <w:rPr>
                <w:rFonts w:eastAsia="Times New Roman" w:cs="Arial"/>
                <w:lang w:eastAsia="en-GB"/>
              </w:rPr>
            </w:pPr>
          </w:p>
        </w:tc>
      </w:tr>
      <w:tr w:rsidR="00490A1A" w14:paraId="05998193" w14:textId="77777777" w:rsidTr="00490A1A">
        <w:tc>
          <w:tcPr>
            <w:tcW w:w="1809" w:type="dxa"/>
            <w:hideMark/>
          </w:tcPr>
          <w:p w14:paraId="5B184179"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Enjoyment</w:t>
            </w:r>
          </w:p>
        </w:tc>
        <w:tc>
          <w:tcPr>
            <w:tcW w:w="7513" w:type="dxa"/>
          </w:tcPr>
          <w:p w14:paraId="4C94AA41" w14:textId="1B474112" w:rsidR="00490A1A" w:rsidRDefault="00490A1A">
            <w:pPr>
              <w:jc w:val="both"/>
              <w:rPr>
                <w:rFonts w:eastAsia="Times New Roman" w:cs="Arial"/>
                <w:lang w:eastAsia="en-GB"/>
              </w:rPr>
            </w:pPr>
            <w:r>
              <w:rPr>
                <w:rFonts w:eastAsia="Times New Roman" w:cs="Arial"/>
                <w:lang w:eastAsia="en-GB"/>
              </w:rPr>
              <w:t xml:space="preserve">Providing learning that is relevant, motivating and engaging releases a child’s curiosity and fun, so that a task can be </w:t>
            </w:r>
            <w:r w:rsidR="00583780">
              <w:rPr>
                <w:rFonts w:eastAsia="Times New Roman" w:cs="Arial"/>
                <w:lang w:eastAsia="en-GB"/>
              </w:rPr>
              <w:t>tackled</w:t>
            </w:r>
            <w:r>
              <w:rPr>
                <w:rFonts w:eastAsia="Times New Roman" w:cs="Arial"/>
                <w:lang w:eastAsia="en-GB"/>
              </w:rPr>
              <w:t xml:space="preserve"> and their goals achieved</w:t>
            </w:r>
          </w:p>
          <w:p w14:paraId="7E545DA5" w14:textId="77777777" w:rsidR="00490A1A" w:rsidRDefault="00490A1A">
            <w:pPr>
              <w:jc w:val="both"/>
              <w:rPr>
                <w:rFonts w:eastAsia="Times New Roman" w:cs="Arial"/>
                <w:lang w:eastAsia="en-GB"/>
              </w:rPr>
            </w:pPr>
          </w:p>
        </w:tc>
      </w:tr>
      <w:tr w:rsidR="00490A1A" w14:paraId="60F8F84D" w14:textId="77777777" w:rsidTr="00490A1A">
        <w:tc>
          <w:tcPr>
            <w:tcW w:w="1809" w:type="dxa"/>
            <w:hideMark/>
          </w:tcPr>
          <w:p w14:paraId="6D0C96FA"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Inspiration</w:t>
            </w:r>
          </w:p>
        </w:tc>
        <w:tc>
          <w:tcPr>
            <w:tcW w:w="7513" w:type="dxa"/>
          </w:tcPr>
          <w:p w14:paraId="1708E5F7" w14:textId="77777777" w:rsidR="00490A1A" w:rsidRDefault="00490A1A">
            <w:pPr>
              <w:jc w:val="both"/>
              <w:rPr>
                <w:rFonts w:eastAsia="Times New Roman" w:cs="Arial"/>
                <w:lang w:eastAsia="en-GB"/>
              </w:rPr>
            </w:pPr>
            <w:r>
              <w:rPr>
                <w:rFonts w:eastAsia="Times New Roman" w:cs="Arial"/>
                <w:lang w:eastAsia="en-GB"/>
              </w:rPr>
              <w:t xml:space="preserve">Inspiration breathes life into our schools. Introducing children to influential experiences of people and place, motivates them to live their lives to the full </w:t>
            </w:r>
          </w:p>
          <w:p w14:paraId="4B6AF2FF" w14:textId="77777777" w:rsidR="00490A1A" w:rsidRDefault="00490A1A">
            <w:pPr>
              <w:jc w:val="both"/>
              <w:rPr>
                <w:rFonts w:eastAsia="Times New Roman" w:cs="Arial"/>
                <w:lang w:eastAsia="en-GB"/>
              </w:rPr>
            </w:pPr>
          </w:p>
        </w:tc>
      </w:tr>
      <w:tr w:rsidR="00490A1A" w14:paraId="0123DBAB" w14:textId="77777777" w:rsidTr="00490A1A">
        <w:tc>
          <w:tcPr>
            <w:tcW w:w="1809" w:type="dxa"/>
          </w:tcPr>
          <w:p w14:paraId="4A5A8FB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Learning </w:t>
            </w:r>
          </w:p>
          <w:p w14:paraId="0F4949D6" w14:textId="77777777" w:rsidR="00490A1A" w:rsidRDefault="00490A1A">
            <w:pPr>
              <w:rPr>
                <w:rFonts w:eastAsia="Times New Roman" w:cs="Arial"/>
                <w:color w:val="2F5496" w:themeColor="accent1" w:themeShade="BF"/>
                <w:lang w:eastAsia="en-GB"/>
              </w:rPr>
            </w:pPr>
          </w:p>
        </w:tc>
        <w:tc>
          <w:tcPr>
            <w:tcW w:w="7513" w:type="dxa"/>
          </w:tcPr>
          <w:p w14:paraId="09A25A1B" w14:textId="77777777" w:rsidR="00490A1A" w:rsidRDefault="00490A1A">
            <w:pPr>
              <w:jc w:val="both"/>
              <w:rPr>
                <w:rFonts w:eastAsia="Times New Roman" w:cs="Arial"/>
                <w:lang w:eastAsia="en-GB"/>
              </w:rPr>
            </w:pPr>
            <w:r>
              <w:rPr>
                <w:rFonts w:eastAsia="Times New Roman" w:cs="Arial"/>
                <w:lang w:eastAsia="en-GB"/>
              </w:rPr>
              <w:t xml:space="preserve">Children and adults will flourish in their learning and through learning discover a future that is worth pursuing </w:t>
            </w:r>
          </w:p>
          <w:p w14:paraId="34677C99" w14:textId="77777777" w:rsidR="00490A1A" w:rsidRDefault="00490A1A">
            <w:pPr>
              <w:jc w:val="both"/>
              <w:rPr>
                <w:rFonts w:eastAsia="Times New Roman" w:cs="Arial"/>
                <w:lang w:eastAsia="en-GB"/>
              </w:rPr>
            </w:pPr>
          </w:p>
        </w:tc>
      </w:tr>
      <w:tr w:rsidR="00490A1A" w14:paraId="5E3808F8" w14:textId="77777777" w:rsidTr="00490A1A">
        <w:tc>
          <w:tcPr>
            <w:tcW w:w="1809" w:type="dxa"/>
          </w:tcPr>
          <w:p w14:paraId="57AED9A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Leadership </w:t>
            </w:r>
          </w:p>
          <w:p w14:paraId="69E1C8A5" w14:textId="77777777" w:rsidR="00490A1A" w:rsidRDefault="00490A1A">
            <w:pPr>
              <w:rPr>
                <w:rFonts w:eastAsia="Times New Roman" w:cs="Arial"/>
                <w:color w:val="2F5496" w:themeColor="accent1" w:themeShade="BF"/>
                <w:lang w:eastAsia="en-GB"/>
              </w:rPr>
            </w:pPr>
          </w:p>
        </w:tc>
        <w:tc>
          <w:tcPr>
            <w:tcW w:w="7513" w:type="dxa"/>
          </w:tcPr>
          <w:p w14:paraId="15DB3E7B" w14:textId="77777777" w:rsidR="00490A1A" w:rsidRDefault="00490A1A">
            <w:pPr>
              <w:jc w:val="both"/>
              <w:rPr>
                <w:rFonts w:eastAsia="Times New Roman" w:cs="Arial"/>
                <w:lang w:eastAsia="en-GB"/>
              </w:rPr>
            </w:pPr>
            <w:r>
              <w:rPr>
                <w:rFonts w:eastAsia="Times New Roman" w:cs="Arial"/>
                <w:lang w:eastAsia="en-GB"/>
              </w:rPr>
              <w:t>REAch2 aspires for high quality leadership by seeking out talent, developing potential and spotting the possible in people as well as the actual</w:t>
            </w:r>
          </w:p>
          <w:p w14:paraId="16F8B4AD" w14:textId="77777777" w:rsidR="00490A1A" w:rsidRDefault="00490A1A">
            <w:pPr>
              <w:jc w:val="both"/>
              <w:rPr>
                <w:rFonts w:eastAsia="Times New Roman" w:cs="Arial"/>
                <w:lang w:eastAsia="en-GB"/>
              </w:rPr>
            </w:pPr>
          </w:p>
        </w:tc>
      </w:tr>
    </w:tbl>
    <w:p w14:paraId="67462C16" w14:textId="5497AF8E" w:rsidR="00490A1A" w:rsidRDefault="00490A1A" w:rsidP="00490A1A">
      <w:pPr>
        <w:spacing w:after="0"/>
        <w:rPr>
          <w:rFonts w:eastAsia="Times New Roman" w:cs="Arial"/>
          <w:color w:val="FF0000"/>
          <w:lang w:eastAsia="en-GB"/>
        </w:rPr>
      </w:pPr>
    </w:p>
    <w:p w14:paraId="0A163EAF" w14:textId="4CDF9D24" w:rsidR="00490A1A" w:rsidRDefault="00490A1A" w:rsidP="00490A1A">
      <w:pPr>
        <w:spacing w:after="0"/>
        <w:rPr>
          <w:rFonts w:eastAsia="Times New Roman" w:cs="Arial"/>
          <w:color w:val="FF0000"/>
          <w:lang w:eastAsia="en-GB"/>
        </w:rPr>
      </w:pPr>
    </w:p>
    <w:p w14:paraId="126F76A6" w14:textId="017EB299" w:rsidR="00490A1A" w:rsidRDefault="00490A1A" w:rsidP="00490A1A">
      <w:pPr>
        <w:spacing w:after="0"/>
        <w:rPr>
          <w:rFonts w:eastAsia="Times New Roman" w:cs="Arial"/>
          <w:color w:val="FF0000"/>
          <w:lang w:eastAsia="en-GB"/>
        </w:rPr>
      </w:pPr>
    </w:p>
    <w:p w14:paraId="59278530" w14:textId="49E34555" w:rsidR="00A64D9D" w:rsidRDefault="00A64D9D" w:rsidP="003035A5">
      <w:pPr>
        <w:jc w:val="right"/>
      </w:pPr>
    </w:p>
    <w:p w14:paraId="5C2D55D5" w14:textId="2AD7F832" w:rsidR="00A64D9D" w:rsidRDefault="00A64D9D" w:rsidP="003035A5">
      <w:pPr>
        <w:jc w:val="right"/>
      </w:pPr>
    </w:p>
    <w:p w14:paraId="5242AC96" w14:textId="17B023A1" w:rsidR="00767F55" w:rsidRDefault="00767F55" w:rsidP="003035A5">
      <w:pPr>
        <w:jc w:val="right"/>
      </w:pPr>
    </w:p>
    <w:p w14:paraId="62E3D905" w14:textId="1EA88B7E" w:rsidR="00767F55" w:rsidRDefault="00767F55" w:rsidP="003035A5">
      <w:pPr>
        <w:jc w:val="right"/>
      </w:pPr>
    </w:p>
    <w:sdt>
      <w:sdtPr>
        <w:rPr>
          <w:rFonts w:asciiTheme="minorHAnsi" w:eastAsiaTheme="minorEastAsia" w:hAnsiTheme="minorHAnsi" w:cstheme="minorBidi"/>
          <w:color w:val="auto"/>
          <w:sz w:val="22"/>
          <w:szCs w:val="22"/>
        </w:rPr>
        <w:id w:val="-1968500520"/>
        <w:docPartObj>
          <w:docPartGallery w:val="Table of Contents"/>
          <w:docPartUnique/>
        </w:docPartObj>
      </w:sdtPr>
      <w:sdtEndPr>
        <w:rPr>
          <w:b/>
          <w:bCs/>
          <w:noProof/>
        </w:rPr>
      </w:sdtEndPr>
      <w:sdtContent>
        <w:p w14:paraId="70C9560E" w14:textId="72524FF8" w:rsidR="0002505C" w:rsidRPr="0002505C" w:rsidRDefault="0002505C" w:rsidP="00794CB2">
          <w:pPr>
            <w:pStyle w:val="TOCHeading"/>
            <w:spacing w:after="240"/>
            <w:rPr>
              <w:rStyle w:val="Heading2Char"/>
            </w:rPr>
          </w:pPr>
          <w:r w:rsidRPr="0002505C">
            <w:rPr>
              <w:rStyle w:val="Heading2Char"/>
            </w:rPr>
            <w:t>Contents</w:t>
          </w:r>
        </w:p>
        <w:p w14:paraId="2483CB48" w14:textId="48E16FEB" w:rsidR="00C63AC6" w:rsidRDefault="0002505C">
          <w:pPr>
            <w:pStyle w:val="TOC3"/>
            <w:rPr>
              <w:rFonts w:cstheme="minorBidi"/>
              <w:b w:val="0"/>
              <w:bCs w:val="0"/>
              <w:lang w:val="en-GB" w:eastAsia="en-GB"/>
            </w:rPr>
          </w:pPr>
          <w:r>
            <w:fldChar w:fldCharType="begin"/>
          </w:r>
          <w:r>
            <w:instrText xml:space="preserve"> TOC \o "1-3" \h \z \t "Subtitle,4" </w:instrText>
          </w:r>
          <w:r>
            <w:fldChar w:fldCharType="separate"/>
          </w:r>
          <w:hyperlink w:anchor="_Toc48135834" w:history="1">
            <w:r w:rsidR="00C63AC6" w:rsidRPr="008227B2">
              <w:rPr>
                <w:rStyle w:val="Hyperlink"/>
              </w:rPr>
              <w:t>Policy Overview</w:t>
            </w:r>
            <w:r w:rsidR="00C63AC6">
              <w:rPr>
                <w:webHidden/>
              </w:rPr>
              <w:tab/>
            </w:r>
            <w:r w:rsidR="00C63AC6">
              <w:rPr>
                <w:webHidden/>
              </w:rPr>
              <w:fldChar w:fldCharType="begin"/>
            </w:r>
            <w:r w:rsidR="00C63AC6">
              <w:rPr>
                <w:webHidden/>
              </w:rPr>
              <w:instrText xml:space="preserve"> PAGEREF _Toc48135834 \h </w:instrText>
            </w:r>
            <w:r w:rsidR="00C63AC6">
              <w:rPr>
                <w:webHidden/>
              </w:rPr>
            </w:r>
            <w:r w:rsidR="00C63AC6">
              <w:rPr>
                <w:webHidden/>
              </w:rPr>
              <w:fldChar w:fldCharType="separate"/>
            </w:r>
            <w:r w:rsidR="0014413B">
              <w:rPr>
                <w:webHidden/>
              </w:rPr>
              <w:t>3</w:t>
            </w:r>
            <w:r w:rsidR="00C63AC6">
              <w:rPr>
                <w:webHidden/>
              </w:rPr>
              <w:fldChar w:fldCharType="end"/>
            </w:r>
          </w:hyperlink>
        </w:p>
        <w:p w14:paraId="6F1A45D8" w14:textId="16F8BDCF" w:rsidR="00C63AC6" w:rsidRDefault="006342B6">
          <w:pPr>
            <w:pStyle w:val="TOC4"/>
            <w:tabs>
              <w:tab w:val="right" w:leader="dot" w:pos="9016"/>
            </w:tabs>
            <w:rPr>
              <w:noProof/>
              <w:lang w:eastAsia="en-GB"/>
            </w:rPr>
          </w:pPr>
          <w:hyperlink w:anchor="_Toc48135835" w:history="1">
            <w:r w:rsidR="00C63AC6" w:rsidRPr="008227B2">
              <w:rPr>
                <w:rStyle w:val="Hyperlink"/>
                <w:noProof/>
              </w:rPr>
              <w:t>Statement of Intent</w:t>
            </w:r>
            <w:r w:rsidR="00C63AC6">
              <w:rPr>
                <w:noProof/>
                <w:webHidden/>
              </w:rPr>
              <w:tab/>
            </w:r>
            <w:r w:rsidR="00C63AC6">
              <w:rPr>
                <w:noProof/>
                <w:webHidden/>
              </w:rPr>
              <w:fldChar w:fldCharType="begin"/>
            </w:r>
            <w:r w:rsidR="00C63AC6">
              <w:rPr>
                <w:noProof/>
                <w:webHidden/>
              </w:rPr>
              <w:instrText xml:space="preserve"> PAGEREF _Toc48135835 \h </w:instrText>
            </w:r>
            <w:r w:rsidR="00C63AC6">
              <w:rPr>
                <w:noProof/>
                <w:webHidden/>
              </w:rPr>
            </w:r>
            <w:r w:rsidR="00C63AC6">
              <w:rPr>
                <w:noProof/>
                <w:webHidden/>
              </w:rPr>
              <w:fldChar w:fldCharType="separate"/>
            </w:r>
            <w:r w:rsidR="0014413B">
              <w:rPr>
                <w:noProof/>
                <w:webHidden/>
              </w:rPr>
              <w:t>3</w:t>
            </w:r>
            <w:r w:rsidR="00C63AC6">
              <w:rPr>
                <w:noProof/>
                <w:webHidden/>
              </w:rPr>
              <w:fldChar w:fldCharType="end"/>
            </w:r>
          </w:hyperlink>
        </w:p>
        <w:p w14:paraId="5DF6749D" w14:textId="29951FD8" w:rsidR="00C63AC6" w:rsidRDefault="006342B6">
          <w:pPr>
            <w:pStyle w:val="TOC4"/>
            <w:tabs>
              <w:tab w:val="left" w:pos="1100"/>
              <w:tab w:val="right" w:leader="dot" w:pos="9016"/>
            </w:tabs>
            <w:rPr>
              <w:noProof/>
              <w:lang w:eastAsia="en-GB"/>
            </w:rPr>
          </w:pPr>
          <w:hyperlink w:anchor="_Toc48135836" w:history="1">
            <w:r w:rsidR="00C63AC6" w:rsidRPr="008227B2">
              <w:rPr>
                <w:rStyle w:val="Hyperlink"/>
                <w:noProof/>
              </w:rPr>
              <w:t>1.</w:t>
            </w:r>
            <w:r w:rsidR="00C63AC6">
              <w:rPr>
                <w:noProof/>
                <w:lang w:eastAsia="en-GB"/>
              </w:rPr>
              <w:tab/>
            </w:r>
            <w:r w:rsidR="00C63AC6" w:rsidRPr="008227B2">
              <w:rPr>
                <w:rStyle w:val="Hyperlink"/>
                <w:noProof/>
              </w:rPr>
              <w:t>How This Relates to National Guidance and Statutory Requirements</w:t>
            </w:r>
            <w:r w:rsidR="00C63AC6">
              <w:rPr>
                <w:noProof/>
                <w:webHidden/>
              </w:rPr>
              <w:tab/>
            </w:r>
            <w:r w:rsidR="00C63AC6">
              <w:rPr>
                <w:noProof/>
                <w:webHidden/>
              </w:rPr>
              <w:fldChar w:fldCharType="begin"/>
            </w:r>
            <w:r w:rsidR="00C63AC6">
              <w:rPr>
                <w:noProof/>
                <w:webHidden/>
              </w:rPr>
              <w:instrText xml:space="preserve"> PAGEREF _Toc48135836 \h </w:instrText>
            </w:r>
            <w:r w:rsidR="00C63AC6">
              <w:rPr>
                <w:noProof/>
                <w:webHidden/>
              </w:rPr>
            </w:r>
            <w:r w:rsidR="00C63AC6">
              <w:rPr>
                <w:noProof/>
                <w:webHidden/>
              </w:rPr>
              <w:fldChar w:fldCharType="separate"/>
            </w:r>
            <w:r w:rsidR="0014413B">
              <w:rPr>
                <w:noProof/>
                <w:webHidden/>
              </w:rPr>
              <w:t>3</w:t>
            </w:r>
            <w:r w:rsidR="00C63AC6">
              <w:rPr>
                <w:noProof/>
                <w:webHidden/>
              </w:rPr>
              <w:fldChar w:fldCharType="end"/>
            </w:r>
          </w:hyperlink>
        </w:p>
        <w:p w14:paraId="52E4A2B2" w14:textId="0FCE5760" w:rsidR="00C63AC6" w:rsidRDefault="006342B6">
          <w:pPr>
            <w:pStyle w:val="TOC4"/>
            <w:tabs>
              <w:tab w:val="left" w:pos="1100"/>
              <w:tab w:val="right" w:leader="dot" w:pos="9016"/>
            </w:tabs>
            <w:rPr>
              <w:noProof/>
              <w:lang w:eastAsia="en-GB"/>
            </w:rPr>
          </w:pPr>
          <w:hyperlink w:anchor="_Toc48135837" w:history="1">
            <w:r w:rsidR="00C63AC6" w:rsidRPr="008227B2">
              <w:rPr>
                <w:rStyle w:val="Hyperlink"/>
                <w:noProof/>
              </w:rPr>
              <w:t>2.</w:t>
            </w:r>
            <w:r w:rsidR="00C63AC6">
              <w:rPr>
                <w:noProof/>
                <w:lang w:eastAsia="en-GB"/>
              </w:rPr>
              <w:tab/>
            </w:r>
            <w:r w:rsidR="00C63AC6" w:rsidRPr="008227B2">
              <w:rPr>
                <w:rStyle w:val="Hyperlink"/>
                <w:noProof/>
              </w:rPr>
              <w:t>Roles and</w:t>
            </w:r>
            <w:r w:rsidR="00C63AC6" w:rsidRPr="008227B2">
              <w:rPr>
                <w:rStyle w:val="Hyperlink"/>
                <w:bCs/>
                <w:noProof/>
              </w:rPr>
              <w:t xml:space="preserve"> </w:t>
            </w:r>
            <w:r w:rsidR="00C63AC6" w:rsidRPr="008227B2">
              <w:rPr>
                <w:rStyle w:val="Hyperlink"/>
                <w:noProof/>
              </w:rPr>
              <w:t>Responsibilities</w:t>
            </w:r>
            <w:r w:rsidR="00C63AC6">
              <w:rPr>
                <w:noProof/>
                <w:webHidden/>
              </w:rPr>
              <w:tab/>
            </w:r>
            <w:r w:rsidR="00C63AC6">
              <w:rPr>
                <w:noProof/>
                <w:webHidden/>
              </w:rPr>
              <w:fldChar w:fldCharType="begin"/>
            </w:r>
            <w:r w:rsidR="00C63AC6">
              <w:rPr>
                <w:noProof/>
                <w:webHidden/>
              </w:rPr>
              <w:instrText xml:space="preserve"> PAGEREF _Toc48135837 \h </w:instrText>
            </w:r>
            <w:r w:rsidR="00C63AC6">
              <w:rPr>
                <w:noProof/>
                <w:webHidden/>
              </w:rPr>
            </w:r>
            <w:r w:rsidR="00C63AC6">
              <w:rPr>
                <w:noProof/>
                <w:webHidden/>
              </w:rPr>
              <w:fldChar w:fldCharType="separate"/>
            </w:r>
            <w:r w:rsidR="0014413B">
              <w:rPr>
                <w:noProof/>
                <w:webHidden/>
              </w:rPr>
              <w:t>3</w:t>
            </w:r>
            <w:r w:rsidR="00C63AC6">
              <w:rPr>
                <w:noProof/>
                <w:webHidden/>
              </w:rPr>
              <w:fldChar w:fldCharType="end"/>
            </w:r>
          </w:hyperlink>
        </w:p>
        <w:p w14:paraId="28426394" w14:textId="21615C25" w:rsidR="00C63AC6" w:rsidRDefault="006342B6">
          <w:pPr>
            <w:pStyle w:val="TOC3"/>
            <w:rPr>
              <w:rFonts w:cstheme="minorBidi"/>
              <w:b w:val="0"/>
              <w:bCs w:val="0"/>
              <w:lang w:val="en-GB" w:eastAsia="en-GB"/>
            </w:rPr>
          </w:pPr>
          <w:hyperlink w:anchor="_Toc48135838" w:history="1">
            <w:r w:rsidR="00C63AC6" w:rsidRPr="008227B2">
              <w:rPr>
                <w:rStyle w:val="Hyperlink"/>
              </w:rPr>
              <w:t>Policy in Detail</w:t>
            </w:r>
            <w:r w:rsidR="00C63AC6">
              <w:rPr>
                <w:webHidden/>
              </w:rPr>
              <w:tab/>
            </w:r>
            <w:r w:rsidR="00C63AC6">
              <w:rPr>
                <w:webHidden/>
              </w:rPr>
              <w:fldChar w:fldCharType="begin"/>
            </w:r>
            <w:r w:rsidR="00C63AC6">
              <w:rPr>
                <w:webHidden/>
              </w:rPr>
              <w:instrText xml:space="preserve"> PAGEREF _Toc48135838 \h </w:instrText>
            </w:r>
            <w:r w:rsidR="00C63AC6">
              <w:rPr>
                <w:webHidden/>
              </w:rPr>
            </w:r>
            <w:r w:rsidR="00C63AC6">
              <w:rPr>
                <w:webHidden/>
              </w:rPr>
              <w:fldChar w:fldCharType="separate"/>
            </w:r>
            <w:r w:rsidR="0014413B">
              <w:rPr>
                <w:webHidden/>
              </w:rPr>
              <w:t>5</w:t>
            </w:r>
            <w:r w:rsidR="00C63AC6">
              <w:rPr>
                <w:webHidden/>
              </w:rPr>
              <w:fldChar w:fldCharType="end"/>
            </w:r>
          </w:hyperlink>
        </w:p>
        <w:p w14:paraId="15F2E13C" w14:textId="64052124" w:rsidR="00C63AC6" w:rsidRDefault="006342B6">
          <w:pPr>
            <w:pStyle w:val="TOC4"/>
            <w:tabs>
              <w:tab w:val="left" w:pos="1100"/>
              <w:tab w:val="right" w:leader="dot" w:pos="9016"/>
            </w:tabs>
            <w:rPr>
              <w:noProof/>
              <w:lang w:eastAsia="en-GB"/>
            </w:rPr>
          </w:pPr>
          <w:hyperlink w:anchor="_Toc48135839" w:history="1">
            <w:r w:rsidR="00C63AC6" w:rsidRPr="008227B2">
              <w:rPr>
                <w:rStyle w:val="Hyperlink"/>
                <w:noProof/>
              </w:rPr>
              <w:t>3.</w:t>
            </w:r>
            <w:r w:rsidR="00C63AC6">
              <w:rPr>
                <w:noProof/>
                <w:lang w:eastAsia="en-GB"/>
              </w:rPr>
              <w:tab/>
            </w:r>
            <w:r w:rsidR="00C63AC6" w:rsidRPr="008227B2">
              <w:rPr>
                <w:rStyle w:val="Hyperlink"/>
                <w:noProof/>
              </w:rPr>
              <w:t>Approval of Fundraising</w:t>
            </w:r>
            <w:r w:rsidR="00C63AC6">
              <w:rPr>
                <w:noProof/>
                <w:webHidden/>
              </w:rPr>
              <w:tab/>
            </w:r>
            <w:r w:rsidR="00C63AC6">
              <w:rPr>
                <w:noProof/>
                <w:webHidden/>
              </w:rPr>
              <w:fldChar w:fldCharType="begin"/>
            </w:r>
            <w:r w:rsidR="00C63AC6">
              <w:rPr>
                <w:noProof/>
                <w:webHidden/>
              </w:rPr>
              <w:instrText xml:space="preserve"> PAGEREF _Toc48135839 \h </w:instrText>
            </w:r>
            <w:r w:rsidR="00C63AC6">
              <w:rPr>
                <w:noProof/>
                <w:webHidden/>
              </w:rPr>
            </w:r>
            <w:r w:rsidR="00C63AC6">
              <w:rPr>
                <w:noProof/>
                <w:webHidden/>
              </w:rPr>
              <w:fldChar w:fldCharType="separate"/>
            </w:r>
            <w:r w:rsidR="0014413B">
              <w:rPr>
                <w:noProof/>
                <w:webHidden/>
              </w:rPr>
              <w:t>5</w:t>
            </w:r>
            <w:r w:rsidR="00C63AC6">
              <w:rPr>
                <w:noProof/>
                <w:webHidden/>
              </w:rPr>
              <w:fldChar w:fldCharType="end"/>
            </w:r>
          </w:hyperlink>
        </w:p>
        <w:p w14:paraId="21B784AE" w14:textId="1776ABE4" w:rsidR="00C63AC6" w:rsidRDefault="006342B6">
          <w:pPr>
            <w:pStyle w:val="TOC4"/>
            <w:tabs>
              <w:tab w:val="left" w:pos="1100"/>
              <w:tab w:val="right" w:leader="dot" w:pos="9016"/>
            </w:tabs>
            <w:rPr>
              <w:noProof/>
              <w:lang w:eastAsia="en-GB"/>
            </w:rPr>
          </w:pPr>
          <w:hyperlink w:anchor="_Toc48135840" w:history="1">
            <w:r w:rsidR="00C63AC6" w:rsidRPr="008227B2">
              <w:rPr>
                <w:rStyle w:val="Hyperlink"/>
                <w:noProof/>
              </w:rPr>
              <w:t>4.</w:t>
            </w:r>
            <w:r w:rsidR="00C63AC6">
              <w:rPr>
                <w:noProof/>
                <w:lang w:eastAsia="en-GB"/>
              </w:rPr>
              <w:tab/>
            </w:r>
            <w:r w:rsidR="00C63AC6" w:rsidRPr="008227B2">
              <w:rPr>
                <w:rStyle w:val="Hyperlink"/>
                <w:noProof/>
              </w:rPr>
              <w:t>Donors’ Rights</w:t>
            </w:r>
            <w:r w:rsidR="00C63AC6">
              <w:rPr>
                <w:noProof/>
                <w:webHidden/>
              </w:rPr>
              <w:tab/>
            </w:r>
            <w:r w:rsidR="00C63AC6">
              <w:rPr>
                <w:noProof/>
                <w:webHidden/>
              </w:rPr>
              <w:fldChar w:fldCharType="begin"/>
            </w:r>
            <w:r w:rsidR="00C63AC6">
              <w:rPr>
                <w:noProof/>
                <w:webHidden/>
              </w:rPr>
              <w:instrText xml:space="preserve"> PAGEREF _Toc48135840 \h </w:instrText>
            </w:r>
            <w:r w:rsidR="00C63AC6">
              <w:rPr>
                <w:noProof/>
                <w:webHidden/>
              </w:rPr>
            </w:r>
            <w:r w:rsidR="00C63AC6">
              <w:rPr>
                <w:noProof/>
                <w:webHidden/>
              </w:rPr>
              <w:fldChar w:fldCharType="separate"/>
            </w:r>
            <w:r w:rsidR="0014413B">
              <w:rPr>
                <w:noProof/>
                <w:webHidden/>
              </w:rPr>
              <w:t>5</w:t>
            </w:r>
            <w:r w:rsidR="00C63AC6">
              <w:rPr>
                <w:noProof/>
                <w:webHidden/>
              </w:rPr>
              <w:fldChar w:fldCharType="end"/>
            </w:r>
          </w:hyperlink>
        </w:p>
        <w:p w14:paraId="1869BE70" w14:textId="0CDD7241" w:rsidR="00C63AC6" w:rsidRDefault="006342B6">
          <w:pPr>
            <w:pStyle w:val="TOC4"/>
            <w:tabs>
              <w:tab w:val="left" w:pos="1100"/>
              <w:tab w:val="right" w:leader="dot" w:pos="9016"/>
            </w:tabs>
            <w:rPr>
              <w:noProof/>
              <w:lang w:eastAsia="en-GB"/>
            </w:rPr>
          </w:pPr>
          <w:hyperlink w:anchor="_Toc48135841" w:history="1">
            <w:r w:rsidR="00C63AC6" w:rsidRPr="008227B2">
              <w:rPr>
                <w:rStyle w:val="Hyperlink"/>
                <w:noProof/>
              </w:rPr>
              <w:t>5.</w:t>
            </w:r>
            <w:r w:rsidR="00C63AC6">
              <w:rPr>
                <w:noProof/>
                <w:lang w:eastAsia="en-GB"/>
              </w:rPr>
              <w:tab/>
            </w:r>
            <w:r w:rsidR="00C63AC6" w:rsidRPr="008227B2">
              <w:rPr>
                <w:rStyle w:val="Hyperlink"/>
                <w:noProof/>
              </w:rPr>
              <w:t>Soliciting Funds</w:t>
            </w:r>
            <w:r w:rsidR="00C63AC6">
              <w:rPr>
                <w:noProof/>
                <w:webHidden/>
              </w:rPr>
              <w:tab/>
            </w:r>
            <w:r w:rsidR="00C63AC6">
              <w:rPr>
                <w:noProof/>
                <w:webHidden/>
              </w:rPr>
              <w:fldChar w:fldCharType="begin"/>
            </w:r>
            <w:r w:rsidR="00C63AC6">
              <w:rPr>
                <w:noProof/>
                <w:webHidden/>
              </w:rPr>
              <w:instrText xml:space="preserve"> PAGEREF _Toc48135841 \h </w:instrText>
            </w:r>
            <w:r w:rsidR="00C63AC6">
              <w:rPr>
                <w:noProof/>
                <w:webHidden/>
              </w:rPr>
            </w:r>
            <w:r w:rsidR="00C63AC6">
              <w:rPr>
                <w:noProof/>
                <w:webHidden/>
              </w:rPr>
              <w:fldChar w:fldCharType="separate"/>
            </w:r>
            <w:r w:rsidR="0014413B">
              <w:rPr>
                <w:noProof/>
                <w:webHidden/>
              </w:rPr>
              <w:t>6</w:t>
            </w:r>
            <w:r w:rsidR="00C63AC6">
              <w:rPr>
                <w:noProof/>
                <w:webHidden/>
              </w:rPr>
              <w:fldChar w:fldCharType="end"/>
            </w:r>
          </w:hyperlink>
        </w:p>
        <w:p w14:paraId="2BBB7D25" w14:textId="6C0B92C4" w:rsidR="00C63AC6" w:rsidRDefault="006342B6">
          <w:pPr>
            <w:pStyle w:val="TOC4"/>
            <w:tabs>
              <w:tab w:val="left" w:pos="1100"/>
              <w:tab w:val="right" w:leader="dot" w:pos="9016"/>
            </w:tabs>
            <w:rPr>
              <w:noProof/>
              <w:lang w:eastAsia="en-GB"/>
            </w:rPr>
          </w:pPr>
          <w:hyperlink w:anchor="_Toc48135842" w:history="1">
            <w:r w:rsidR="00C63AC6" w:rsidRPr="008227B2">
              <w:rPr>
                <w:rStyle w:val="Hyperlink"/>
                <w:noProof/>
              </w:rPr>
              <w:t>6.</w:t>
            </w:r>
            <w:r w:rsidR="00C63AC6">
              <w:rPr>
                <w:noProof/>
                <w:lang w:eastAsia="en-GB"/>
              </w:rPr>
              <w:tab/>
            </w:r>
            <w:r w:rsidR="00C63AC6" w:rsidRPr="008227B2">
              <w:rPr>
                <w:rStyle w:val="Hyperlink"/>
                <w:noProof/>
              </w:rPr>
              <w:t>Accepting, Declining or Repaying Funds</w:t>
            </w:r>
            <w:r w:rsidR="00C63AC6">
              <w:rPr>
                <w:noProof/>
                <w:webHidden/>
              </w:rPr>
              <w:tab/>
            </w:r>
            <w:r w:rsidR="00C63AC6">
              <w:rPr>
                <w:noProof/>
                <w:webHidden/>
              </w:rPr>
              <w:fldChar w:fldCharType="begin"/>
            </w:r>
            <w:r w:rsidR="00C63AC6">
              <w:rPr>
                <w:noProof/>
                <w:webHidden/>
              </w:rPr>
              <w:instrText xml:space="preserve"> PAGEREF _Toc48135842 \h </w:instrText>
            </w:r>
            <w:r w:rsidR="00C63AC6">
              <w:rPr>
                <w:noProof/>
                <w:webHidden/>
              </w:rPr>
            </w:r>
            <w:r w:rsidR="00C63AC6">
              <w:rPr>
                <w:noProof/>
                <w:webHidden/>
              </w:rPr>
              <w:fldChar w:fldCharType="separate"/>
            </w:r>
            <w:r w:rsidR="0014413B">
              <w:rPr>
                <w:noProof/>
                <w:webHidden/>
              </w:rPr>
              <w:t>7</w:t>
            </w:r>
            <w:r w:rsidR="00C63AC6">
              <w:rPr>
                <w:noProof/>
                <w:webHidden/>
              </w:rPr>
              <w:fldChar w:fldCharType="end"/>
            </w:r>
          </w:hyperlink>
        </w:p>
        <w:p w14:paraId="52BCBF98" w14:textId="102D1B88" w:rsidR="00C63AC6" w:rsidRDefault="006342B6">
          <w:pPr>
            <w:pStyle w:val="TOC4"/>
            <w:tabs>
              <w:tab w:val="left" w:pos="1100"/>
              <w:tab w:val="right" w:leader="dot" w:pos="9016"/>
            </w:tabs>
            <w:rPr>
              <w:noProof/>
              <w:lang w:eastAsia="en-GB"/>
            </w:rPr>
          </w:pPr>
          <w:hyperlink w:anchor="_Toc48135843" w:history="1">
            <w:r w:rsidR="00C63AC6" w:rsidRPr="008227B2">
              <w:rPr>
                <w:rStyle w:val="Hyperlink"/>
                <w:noProof/>
              </w:rPr>
              <w:t>7.</w:t>
            </w:r>
            <w:r w:rsidR="00C63AC6">
              <w:rPr>
                <w:noProof/>
                <w:lang w:eastAsia="en-GB"/>
              </w:rPr>
              <w:tab/>
            </w:r>
            <w:r w:rsidR="00C63AC6" w:rsidRPr="008227B2">
              <w:rPr>
                <w:rStyle w:val="Hyperlink"/>
                <w:noProof/>
              </w:rPr>
              <w:t>Funds raised</w:t>
            </w:r>
            <w:r w:rsidR="00C63AC6">
              <w:rPr>
                <w:noProof/>
                <w:webHidden/>
              </w:rPr>
              <w:tab/>
            </w:r>
            <w:r w:rsidR="00C63AC6">
              <w:rPr>
                <w:noProof/>
                <w:webHidden/>
              </w:rPr>
              <w:fldChar w:fldCharType="begin"/>
            </w:r>
            <w:r w:rsidR="00C63AC6">
              <w:rPr>
                <w:noProof/>
                <w:webHidden/>
              </w:rPr>
              <w:instrText xml:space="preserve"> PAGEREF _Toc48135843 \h </w:instrText>
            </w:r>
            <w:r w:rsidR="00C63AC6">
              <w:rPr>
                <w:noProof/>
                <w:webHidden/>
              </w:rPr>
            </w:r>
            <w:r w:rsidR="00C63AC6">
              <w:rPr>
                <w:noProof/>
                <w:webHidden/>
              </w:rPr>
              <w:fldChar w:fldCharType="separate"/>
            </w:r>
            <w:r w:rsidR="0014413B">
              <w:rPr>
                <w:noProof/>
                <w:webHidden/>
              </w:rPr>
              <w:t>8</w:t>
            </w:r>
            <w:r w:rsidR="00C63AC6">
              <w:rPr>
                <w:noProof/>
                <w:webHidden/>
              </w:rPr>
              <w:fldChar w:fldCharType="end"/>
            </w:r>
          </w:hyperlink>
        </w:p>
        <w:p w14:paraId="2E0F0B2D" w14:textId="08249D01" w:rsidR="00C63AC6" w:rsidRDefault="006342B6">
          <w:pPr>
            <w:pStyle w:val="TOC4"/>
            <w:tabs>
              <w:tab w:val="left" w:pos="1100"/>
              <w:tab w:val="right" w:leader="dot" w:pos="9016"/>
            </w:tabs>
            <w:rPr>
              <w:noProof/>
              <w:lang w:eastAsia="en-GB"/>
            </w:rPr>
          </w:pPr>
          <w:hyperlink w:anchor="_Toc48135844" w:history="1">
            <w:r w:rsidR="00C63AC6" w:rsidRPr="008227B2">
              <w:rPr>
                <w:rStyle w:val="Hyperlink"/>
                <w:noProof/>
              </w:rPr>
              <w:t>8.</w:t>
            </w:r>
            <w:r w:rsidR="00C63AC6">
              <w:rPr>
                <w:noProof/>
                <w:lang w:eastAsia="en-GB"/>
              </w:rPr>
              <w:tab/>
            </w:r>
            <w:r w:rsidR="00C63AC6" w:rsidRPr="008227B2">
              <w:rPr>
                <w:rStyle w:val="Hyperlink"/>
                <w:noProof/>
              </w:rPr>
              <w:t>Financial accountability</w:t>
            </w:r>
            <w:r w:rsidR="00C63AC6">
              <w:rPr>
                <w:noProof/>
                <w:webHidden/>
              </w:rPr>
              <w:tab/>
            </w:r>
            <w:r w:rsidR="00C63AC6">
              <w:rPr>
                <w:noProof/>
                <w:webHidden/>
              </w:rPr>
              <w:fldChar w:fldCharType="begin"/>
            </w:r>
            <w:r w:rsidR="00C63AC6">
              <w:rPr>
                <w:noProof/>
                <w:webHidden/>
              </w:rPr>
              <w:instrText xml:space="preserve"> PAGEREF _Toc48135844 \h </w:instrText>
            </w:r>
            <w:r w:rsidR="00C63AC6">
              <w:rPr>
                <w:noProof/>
                <w:webHidden/>
              </w:rPr>
            </w:r>
            <w:r w:rsidR="00C63AC6">
              <w:rPr>
                <w:noProof/>
                <w:webHidden/>
              </w:rPr>
              <w:fldChar w:fldCharType="separate"/>
            </w:r>
            <w:r w:rsidR="0014413B">
              <w:rPr>
                <w:noProof/>
                <w:webHidden/>
              </w:rPr>
              <w:t>8</w:t>
            </w:r>
            <w:r w:rsidR="00C63AC6">
              <w:rPr>
                <w:noProof/>
                <w:webHidden/>
              </w:rPr>
              <w:fldChar w:fldCharType="end"/>
            </w:r>
          </w:hyperlink>
        </w:p>
        <w:p w14:paraId="122C98D7" w14:textId="68627081" w:rsidR="00C63AC6" w:rsidRDefault="006342B6">
          <w:pPr>
            <w:pStyle w:val="TOC4"/>
            <w:tabs>
              <w:tab w:val="left" w:pos="1100"/>
              <w:tab w:val="right" w:leader="dot" w:pos="9016"/>
            </w:tabs>
            <w:rPr>
              <w:noProof/>
              <w:lang w:eastAsia="en-GB"/>
            </w:rPr>
          </w:pPr>
          <w:hyperlink w:anchor="_Toc48135845" w:history="1">
            <w:r w:rsidR="00C63AC6" w:rsidRPr="008227B2">
              <w:rPr>
                <w:rStyle w:val="Hyperlink"/>
                <w:noProof/>
              </w:rPr>
              <w:t>9.</w:t>
            </w:r>
            <w:r w:rsidR="00C63AC6">
              <w:rPr>
                <w:noProof/>
                <w:lang w:eastAsia="en-GB"/>
              </w:rPr>
              <w:tab/>
            </w:r>
            <w:r w:rsidR="00C63AC6" w:rsidRPr="008227B2">
              <w:rPr>
                <w:rStyle w:val="Hyperlink"/>
                <w:noProof/>
              </w:rPr>
              <w:t>Complaints</w:t>
            </w:r>
            <w:r w:rsidR="00C63AC6">
              <w:rPr>
                <w:noProof/>
                <w:webHidden/>
              </w:rPr>
              <w:tab/>
            </w:r>
            <w:r w:rsidR="00C63AC6">
              <w:rPr>
                <w:noProof/>
                <w:webHidden/>
              </w:rPr>
              <w:fldChar w:fldCharType="begin"/>
            </w:r>
            <w:r w:rsidR="00C63AC6">
              <w:rPr>
                <w:noProof/>
                <w:webHidden/>
              </w:rPr>
              <w:instrText xml:space="preserve"> PAGEREF _Toc48135845 \h </w:instrText>
            </w:r>
            <w:r w:rsidR="00C63AC6">
              <w:rPr>
                <w:noProof/>
                <w:webHidden/>
              </w:rPr>
            </w:r>
            <w:r w:rsidR="00C63AC6">
              <w:rPr>
                <w:noProof/>
                <w:webHidden/>
              </w:rPr>
              <w:fldChar w:fldCharType="separate"/>
            </w:r>
            <w:r w:rsidR="0014413B">
              <w:rPr>
                <w:noProof/>
                <w:webHidden/>
              </w:rPr>
              <w:t>9</w:t>
            </w:r>
            <w:r w:rsidR="00C63AC6">
              <w:rPr>
                <w:noProof/>
                <w:webHidden/>
              </w:rPr>
              <w:fldChar w:fldCharType="end"/>
            </w:r>
          </w:hyperlink>
        </w:p>
        <w:p w14:paraId="53F01B43" w14:textId="744F2FE1" w:rsidR="00C63AC6" w:rsidRDefault="006342B6">
          <w:pPr>
            <w:pStyle w:val="TOC3"/>
            <w:rPr>
              <w:rFonts w:cstheme="minorBidi"/>
              <w:b w:val="0"/>
              <w:bCs w:val="0"/>
              <w:lang w:val="en-GB" w:eastAsia="en-GB"/>
            </w:rPr>
          </w:pPr>
          <w:hyperlink w:anchor="_Toc48135846" w:history="1">
            <w:r w:rsidR="00C63AC6" w:rsidRPr="008227B2">
              <w:rPr>
                <w:rStyle w:val="Hyperlink"/>
              </w:rPr>
              <w:t>Policy Review</w:t>
            </w:r>
            <w:r w:rsidR="00C63AC6">
              <w:rPr>
                <w:webHidden/>
              </w:rPr>
              <w:tab/>
            </w:r>
            <w:r w:rsidR="00C63AC6">
              <w:rPr>
                <w:webHidden/>
              </w:rPr>
              <w:fldChar w:fldCharType="begin"/>
            </w:r>
            <w:r w:rsidR="00C63AC6">
              <w:rPr>
                <w:webHidden/>
              </w:rPr>
              <w:instrText xml:space="preserve"> PAGEREF _Toc48135846 \h </w:instrText>
            </w:r>
            <w:r w:rsidR="00C63AC6">
              <w:rPr>
                <w:webHidden/>
              </w:rPr>
            </w:r>
            <w:r w:rsidR="00C63AC6">
              <w:rPr>
                <w:webHidden/>
              </w:rPr>
              <w:fldChar w:fldCharType="separate"/>
            </w:r>
            <w:r w:rsidR="0014413B">
              <w:rPr>
                <w:webHidden/>
              </w:rPr>
              <w:t>10</w:t>
            </w:r>
            <w:r w:rsidR="00C63AC6">
              <w:rPr>
                <w:webHidden/>
              </w:rPr>
              <w:fldChar w:fldCharType="end"/>
            </w:r>
          </w:hyperlink>
        </w:p>
        <w:p w14:paraId="3D52CB28" w14:textId="42521B63" w:rsidR="00C63AC6" w:rsidRDefault="006342B6">
          <w:pPr>
            <w:pStyle w:val="TOC3"/>
            <w:rPr>
              <w:rFonts w:cstheme="minorBidi"/>
              <w:b w:val="0"/>
              <w:bCs w:val="0"/>
              <w:lang w:val="en-GB" w:eastAsia="en-GB"/>
            </w:rPr>
          </w:pPr>
          <w:hyperlink w:anchor="_Toc48135847" w:history="1">
            <w:r w:rsidR="00C63AC6" w:rsidRPr="008227B2">
              <w:rPr>
                <w:rStyle w:val="Hyperlink"/>
              </w:rPr>
              <w:t>Policy Adoption</w:t>
            </w:r>
            <w:r w:rsidR="00C63AC6">
              <w:rPr>
                <w:webHidden/>
              </w:rPr>
              <w:tab/>
            </w:r>
            <w:r w:rsidR="00C63AC6">
              <w:rPr>
                <w:webHidden/>
              </w:rPr>
              <w:fldChar w:fldCharType="begin"/>
            </w:r>
            <w:r w:rsidR="00C63AC6">
              <w:rPr>
                <w:webHidden/>
              </w:rPr>
              <w:instrText xml:space="preserve"> PAGEREF _Toc48135847 \h </w:instrText>
            </w:r>
            <w:r w:rsidR="00C63AC6">
              <w:rPr>
                <w:webHidden/>
              </w:rPr>
            </w:r>
            <w:r w:rsidR="00C63AC6">
              <w:rPr>
                <w:webHidden/>
              </w:rPr>
              <w:fldChar w:fldCharType="separate"/>
            </w:r>
            <w:r w:rsidR="0014413B">
              <w:rPr>
                <w:webHidden/>
              </w:rPr>
              <w:t>11</w:t>
            </w:r>
            <w:r w:rsidR="00C63AC6">
              <w:rPr>
                <w:webHidden/>
              </w:rPr>
              <w:fldChar w:fldCharType="end"/>
            </w:r>
          </w:hyperlink>
        </w:p>
        <w:p w14:paraId="76F7509E" w14:textId="2C489400" w:rsidR="0002505C" w:rsidRDefault="0002505C">
          <w:r>
            <w:rPr>
              <w:rFonts w:cs="Times New Roman"/>
              <w:lang w:val="en-US"/>
            </w:rPr>
            <w:fldChar w:fldCharType="end"/>
          </w:r>
        </w:p>
      </w:sdtContent>
    </w:sdt>
    <w:p w14:paraId="7E455E31" w14:textId="1D40BFD7" w:rsidR="0038179C" w:rsidRDefault="0038179C" w:rsidP="0038179C"/>
    <w:p w14:paraId="72B9E58E" w14:textId="42E2D764" w:rsidR="0038179C" w:rsidRDefault="0038179C" w:rsidP="0038179C"/>
    <w:p w14:paraId="372971FE" w14:textId="7BF812C4" w:rsidR="0038179C" w:rsidRDefault="0038179C" w:rsidP="0038179C"/>
    <w:p w14:paraId="43AFF4C8" w14:textId="33DE1306" w:rsidR="0038179C" w:rsidRDefault="0038179C" w:rsidP="0038179C"/>
    <w:p w14:paraId="6F2180EA" w14:textId="4F69D301" w:rsidR="0038179C" w:rsidRDefault="0038179C" w:rsidP="0038179C"/>
    <w:p w14:paraId="1AB9381F" w14:textId="26AD90FE" w:rsidR="0038179C" w:rsidRDefault="0038179C" w:rsidP="0038179C"/>
    <w:p w14:paraId="099AE2AD" w14:textId="6D651C66" w:rsidR="0038179C" w:rsidRDefault="0038179C" w:rsidP="0038179C"/>
    <w:p w14:paraId="33D5A528" w14:textId="6170955B" w:rsidR="0038179C" w:rsidRDefault="0038179C" w:rsidP="0038179C"/>
    <w:p w14:paraId="4206BC0D" w14:textId="4F0E4780" w:rsidR="0038179C" w:rsidRDefault="0038179C" w:rsidP="0038179C"/>
    <w:p w14:paraId="357E6262" w14:textId="6C9B4F75" w:rsidR="0038179C" w:rsidRDefault="0038179C" w:rsidP="0038179C"/>
    <w:p w14:paraId="74F88F84" w14:textId="51FFFFF6" w:rsidR="0038179C" w:rsidRDefault="0038179C" w:rsidP="0038179C"/>
    <w:p w14:paraId="5BFC8F92" w14:textId="7F9211DA" w:rsidR="0038179C" w:rsidRDefault="0038179C" w:rsidP="0038179C"/>
    <w:p w14:paraId="0257F399" w14:textId="4797C7CD" w:rsidR="0038179C" w:rsidRDefault="0038179C" w:rsidP="0038179C"/>
    <w:p w14:paraId="53F0E965" w14:textId="32D322B1" w:rsidR="0038179C" w:rsidRDefault="0038179C" w:rsidP="0038179C"/>
    <w:p w14:paraId="36AF7339" w14:textId="6ECCDF9C" w:rsidR="00D25A07" w:rsidRDefault="00D25A07">
      <w:r>
        <w:br w:type="page"/>
      </w:r>
    </w:p>
    <w:p w14:paraId="105635A5" w14:textId="3AF2DF04" w:rsidR="0038179C" w:rsidRDefault="00D25A07" w:rsidP="0002505C">
      <w:pPr>
        <w:pStyle w:val="Heading3"/>
      </w:pPr>
      <w:bookmarkStart w:id="0" w:name="_Toc48135834"/>
      <w:r w:rsidRPr="00D25A07">
        <w:lastRenderedPageBreak/>
        <w:t>Policy Overview</w:t>
      </w:r>
      <w:bookmarkEnd w:id="0"/>
    </w:p>
    <w:p w14:paraId="4ED18C88" w14:textId="0C9FF863" w:rsidR="0002505C" w:rsidRPr="0002505C" w:rsidRDefault="0002505C" w:rsidP="0002505C"/>
    <w:p w14:paraId="5CAF48F8" w14:textId="21672CC8" w:rsidR="00D25A07" w:rsidRPr="0038223E" w:rsidRDefault="00F51E75" w:rsidP="00E0519E">
      <w:pPr>
        <w:pStyle w:val="Subtitle"/>
      </w:pPr>
      <w:bookmarkStart w:id="1" w:name="_Toc48135835"/>
      <w:r>
        <w:t>Statement of Intent</w:t>
      </w:r>
      <w:bookmarkEnd w:id="1"/>
    </w:p>
    <w:p w14:paraId="1B64AFDB" w14:textId="7A7AE944" w:rsidR="00F51E75" w:rsidRDefault="00F51E75" w:rsidP="00F51E75">
      <w:pPr>
        <w:jc w:val="both"/>
      </w:pPr>
      <w:r>
        <w:t xml:space="preserve">At </w:t>
      </w:r>
      <w:r w:rsidRPr="00F51E75">
        <w:rPr>
          <w:bCs/>
        </w:rPr>
        <w:t>R</w:t>
      </w:r>
      <w:r>
        <w:rPr>
          <w:bCs/>
        </w:rPr>
        <w:t>EA</w:t>
      </w:r>
      <w:r w:rsidRPr="00F51E75">
        <w:rPr>
          <w:bCs/>
        </w:rPr>
        <w:t>ch2</w:t>
      </w:r>
      <w:r w:rsidRPr="00F51E75">
        <w:t xml:space="preserve"> </w:t>
      </w:r>
      <w:r>
        <w:t xml:space="preserve">fundraising is seen as a legitimate means of improving the school’s ability to purchase goods, equipment or services, which can be used to achieve the aims of the Trust and its schools. Our fundraising approach is to act fairly, transparently and ethically, and in line with </w:t>
      </w:r>
      <w:hyperlink r:id="rId14" w:history="1">
        <w:r>
          <w:rPr>
            <w:rStyle w:val="Hyperlink"/>
          </w:rPr>
          <w:t>The Code of Fundraising Practice</w:t>
        </w:r>
      </w:hyperlink>
      <w:r>
        <w:t xml:space="preserve">. </w:t>
      </w:r>
    </w:p>
    <w:p w14:paraId="00BB1E1C" w14:textId="77777777" w:rsidR="00F51E75" w:rsidRDefault="00F51E75" w:rsidP="00F51E75">
      <w:pPr>
        <w:jc w:val="both"/>
      </w:pPr>
      <w:r>
        <w:t>Donating money, services, time or equipment, or actively raising funds is a positive way for the public to support the school. This policy should be adhered to by all those involved in soliciting and raising funds on behalf of the school.</w:t>
      </w:r>
    </w:p>
    <w:p w14:paraId="257EB878" w14:textId="77777777" w:rsidR="00F51E75" w:rsidRPr="00F51E75" w:rsidRDefault="00F51E75" w:rsidP="00F51E75">
      <w:pPr>
        <w:jc w:val="both"/>
      </w:pPr>
      <w:r w:rsidRPr="00FE596C">
        <w:t xml:space="preserve">Donation means a contribution that voluntarily transferred by one person to another without compensation or benefit flowing from the giver to the receiver.  Generally, donations are irrevocable, and, beyond a possible designation of use, the donor does not impose contractual requirements or subsequent reports as a condition of the donation.  The term donation in this policy includes </w:t>
      </w:r>
      <w:r w:rsidRPr="00F51E75">
        <w:t>sponsorship and gifts.</w:t>
      </w:r>
    </w:p>
    <w:p w14:paraId="09779217" w14:textId="77777777" w:rsidR="00F51E75" w:rsidRDefault="00F51E75" w:rsidP="00F51E75">
      <w:pPr>
        <w:jc w:val="both"/>
      </w:pPr>
      <w:r w:rsidRPr="00F51E75">
        <w:t xml:space="preserve">Fundraising </w:t>
      </w:r>
      <w:r>
        <w:t>is the active process carried out by the Trust or a school, including making grant application bids.</w:t>
      </w:r>
    </w:p>
    <w:p w14:paraId="31ACA71A" w14:textId="77777777" w:rsidR="004831A2" w:rsidRDefault="004831A2" w:rsidP="00E0519E">
      <w:pPr>
        <w:rPr>
          <w:b/>
        </w:rPr>
      </w:pPr>
    </w:p>
    <w:p w14:paraId="3F9F5DEA" w14:textId="0D5D3783" w:rsidR="00D25A07" w:rsidRPr="00D25A07" w:rsidRDefault="00D25A07" w:rsidP="00B16C90">
      <w:pPr>
        <w:pStyle w:val="Subtitle"/>
        <w:numPr>
          <w:ilvl w:val="0"/>
          <w:numId w:val="23"/>
        </w:numPr>
        <w:spacing w:after="120"/>
        <w:ind w:left="284"/>
      </w:pPr>
      <w:bookmarkStart w:id="2" w:name="_Toc48135836"/>
      <w:r>
        <w:t xml:space="preserve">How This Relates to </w:t>
      </w:r>
      <w:r w:rsidRPr="0002505C">
        <w:t>National</w:t>
      </w:r>
      <w:r>
        <w:t xml:space="preserve"> Guidance and Statutory Requirements</w:t>
      </w:r>
      <w:bookmarkEnd w:id="2"/>
    </w:p>
    <w:p w14:paraId="3E729E3B" w14:textId="77777777" w:rsidR="00F51E75" w:rsidRPr="00F51E75" w:rsidRDefault="00F51E75" w:rsidP="00F51E75">
      <w:pPr>
        <w:pStyle w:val="ListParagraph"/>
        <w:numPr>
          <w:ilvl w:val="1"/>
          <w:numId w:val="19"/>
        </w:numPr>
        <w:rPr>
          <w:rFonts w:eastAsia="Calibri"/>
        </w:rPr>
      </w:pPr>
      <w:r w:rsidRPr="00F51E75">
        <w:rPr>
          <w:rFonts w:eastAsia="Times New Roman"/>
        </w:rPr>
        <w:t xml:space="preserve">This policy has due regard to all relevant legislation and statutory guidance including, but not limited to, the following: </w:t>
      </w:r>
    </w:p>
    <w:p w14:paraId="38B86775" w14:textId="3B34B03E" w:rsidR="00F51E75" w:rsidRPr="00F51E75" w:rsidRDefault="00F51E75" w:rsidP="00F51E75">
      <w:pPr>
        <w:ind w:left="851"/>
        <w:rPr>
          <w:rFonts w:eastAsia="Arial"/>
        </w:rPr>
      </w:pPr>
      <w:r w:rsidRPr="00F51E75">
        <w:rPr>
          <w:rFonts w:eastAsia="Arial"/>
        </w:rPr>
        <w:t>General Data Protection Regulation (GDPR)</w:t>
      </w:r>
      <w:r>
        <w:rPr>
          <w:rFonts w:eastAsia="Calibri"/>
        </w:rPr>
        <w:br/>
      </w:r>
      <w:r w:rsidRPr="00F51E75">
        <w:rPr>
          <w:rFonts w:eastAsia="Arial"/>
        </w:rPr>
        <w:t>Data Protection Act 2018</w:t>
      </w:r>
      <w:r>
        <w:rPr>
          <w:rFonts w:eastAsia="Arial"/>
        </w:rPr>
        <w:br/>
      </w:r>
      <w:r w:rsidRPr="00F51E75">
        <w:rPr>
          <w:rFonts w:eastAsia="Arial"/>
        </w:rPr>
        <w:t>Charities Act 2011</w:t>
      </w:r>
      <w:r>
        <w:rPr>
          <w:rFonts w:eastAsia="Arial"/>
        </w:rPr>
        <w:br/>
      </w:r>
      <w:r w:rsidRPr="00F51E75">
        <w:rPr>
          <w:rFonts w:eastAsia="Arial"/>
        </w:rPr>
        <w:t>The Charity Governance Code</w:t>
      </w:r>
      <w:r>
        <w:rPr>
          <w:rFonts w:eastAsia="Arial"/>
        </w:rPr>
        <w:br/>
      </w:r>
      <w:r w:rsidRPr="00F51E75">
        <w:rPr>
          <w:rFonts w:eastAsia="Arial"/>
        </w:rPr>
        <w:t>The Code of Fundraising Practice</w:t>
      </w:r>
      <w:r>
        <w:rPr>
          <w:rFonts w:eastAsia="Arial"/>
        </w:rPr>
        <w:br/>
      </w:r>
      <w:r w:rsidRPr="00F51E75">
        <w:rPr>
          <w:rFonts w:eastAsia="Arial"/>
        </w:rPr>
        <w:t>ESFA Academies Handbook</w:t>
      </w:r>
    </w:p>
    <w:p w14:paraId="1565C0C2" w14:textId="77777777" w:rsidR="00F51E75" w:rsidRPr="00F51E75" w:rsidRDefault="00F51E75" w:rsidP="00F51E75">
      <w:pPr>
        <w:pStyle w:val="ListParagraph"/>
        <w:numPr>
          <w:ilvl w:val="1"/>
          <w:numId w:val="19"/>
        </w:numPr>
        <w:rPr>
          <w:rFonts w:eastAsia="Times New Roman"/>
        </w:rPr>
      </w:pPr>
      <w:r w:rsidRPr="00F51E75">
        <w:rPr>
          <w:rFonts w:eastAsia="Times New Roman"/>
        </w:rPr>
        <w:t>This policy operates in conjunction with the following school policies:</w:t>
      </w:r>
    </w:p>
    <w:p w14:paraId="59CF4156" w14:textId="77777777" w:rsidR="00F51E75" w:rsidRPr="00F51E75" w:rsidRDefault="00F51E75" w:rsidP="00F51E75">
      <w:pPr>
        <w:spacing w:after="0"/>
        <w:ind w:left="851"/>
        <w:rPr>
          <w:rFonts w:eastAsia="Arial"/>
        </w:rPr>
      </w:pPr>
      <w:r w:rsidRPr="00F51E75">
        <w:rPr>
          <w:rFonts w:eastAsia="Arial"/>
        </w:rPr>
        <w:t>Anti-Fraud, Bribery and Corruption Policy</w:t>
      </w:r>
    </w:p>
    <w:p w14:paraId="7F0A5C53" w14:textId="77777777" w:rsidR="00F51E75" w:rsidRPr="00F51E75" w:rsidRDefault="00F51E75" w:rsidP="00F51E75">
      <w:pPr>
        <w:spacing w:after="0"/>
        <w:ind w:left="851"/>
        <w:rPr>
          <w:rFonts w:eastAsia="Arial"/>
        </w:rPr>
      </w:pPr>
      <w:r w:rsidRPr="00F51E75">
        <w:rPr>
          <w:rFonts w:eastAsia="Arial"/>
        </w:rPr>
        <w:t>Complaints Policy</w:t>
      </w:r>
    </w:p>
    <w:p w14:paraId="4B84E56C" w14:textId="77777777" w:rsidR="00F51E75" w:rsidRPr="00F51E75" w:rsidRDefault="00F51E75" w:rsidP="00F51E75">
      <w:pPr>
        <w:spacing w:after="0"/>
        <w:ind w:left="851"/>
        <w:rPr>
          <w:rFonts w:eastAsia="Arial"/>
        </w:rPr>
      </w:pPr>
      <w:r w:rsidRPr="00F51E75">
        <w:rPr>
          <w:rFonts w:eastAsia="Arial"/>
        </w:rPr>
        <w:t>Conflicts of Interest Policy</w:t>
      </w:r>
    </w:p>
    <w:p w14:paraId="44623115" w14:textId="52AD60C1" w:rsidR="00F51E75" w:rsidRDefault="00F51E75" w:rsidP="00F51E75">
      <w:pPr>
        <w:spacing w:after="0"/>
        <w:ind w:left="851"/>
        <w:rPr>
          <w:rFonts w:eastAsia="Arial"/>
        </w:rPr>
      </w:pPr>
      <w:r w:rsidRPr="00F51E75">
        <w:rPr>
          <w:rFonts w:eastAsia="Arial"/>
        </w:rPr>
        <w:t xml:space="preserve">Charging and </w:t>
      </w:r>
      <w:r w:rsidR="00014FE4">
        <w:rPr>
          <w:rFonts w:eastAsia="Arial"/>
        </w:rPr>
        <w:t>R</w:t>
      </w:r>
      <w:r w:rsidRPr="00F51E75">
        <w:rPr>
          <w:rFonts w:eastAsia="Arial"/>
        </w:rPr>
        <w:t>emissions Policy</w:t>
      </w:r>
    </w:p>
    <w:p w14:paraId="3FFCB3B6" w14:textId="3CA875B0" w:rsidR="00CA6D8B" w:rsidRPr="00F51E75" w:rsidRDefault="00CA6D8B" w:rsidP="00F51E75">
      <w:pPr>
        <w:spacing w:after="0"/>
        <w:ind w:left="851"/>
        <w:rPr>
          <w:rFonts w:eastAsia="Arial"/>
          <w:color w:val="4472C4"/>
        </w:rPr>
      </w:pPr>
      <w:r>
        <w:rPr>
          <w:rFonts w:eastAsia="Arial"/>
        </w:rPr>
        <w:t>Information Security Policy</w:t>
      </w:r>
    </w:p>
    <w:p w14:paraId="2B18053F" w14:textId="77777777" w:rsidR="00FA2BAF" w:rsidRDefault="00FA2BAF" w:rsidP="00E0519E">
      <w:pPr>
        <w:pStyle w:val="Subtitle"/>
        <w:rPr>
          <w:rStyle w:val="Strong"/>
          <w:b/>
          <w:bCs w:val="0"/>
        </w:rPr>
      </w:pPr>
    </w:p>
    <w:p w14:paraId="304CAC9B" w14:textId="3A9617B3" w:rsidR="00E0519E" w:rsidRPr="0002505C" w:rsidRDefault="00E0519E" w:rsidP="00F51E75">
      <w:pPr>
        <w:pStyle w:val="Subtitle"/>
        <w:numPr>
          <w:ilvl w:val="0"/>
          <w:numId w:val="19"/>
        </w:numPr>
        <w:rPr>
          <w:rStyle w:val="Strong"/>
        </w:rPr>
      </w:pPr>
      <w:bookmarkStart w:id="3" w:name="_Toc48135837"/>
      <w:r w:rsidRPr="00F51E75">
        <w:rPr>
          <w:rStyle w:val="Strong"/>
          <w:b/>
          <w:bCs w:val="0"/>
        </w:rPr>
        <w:t>Roles</w:t>
      </w:r>
      <w:r w:rsidRPr="0002505C">
        <w:rPr>
          <w:rStyle w:val="Strong"/>
          <w:b/>
          <w:bCs w:val="0"/>
        </w:rPr>
        <w:t xml:space="preserve"> and</w:t>
      </w:r>
      <w:r w:rsidRPr="0002505C">
        <w:rPr>
          <w:rStyle w:val="Strong"/>
        </w:rPr>
        <w:t xml:space="preserve"> </w:t>
      </w:r>
      <w:r w:rsidRPr="0002505C">
        <w:rPr>
          <w:rStyle w:val="Strong"/>
          <w:b/>
          <w:bCs w:val="0"/>
        </w:rPr>
        <w:t>Responsibilities</w:t>
      </w:r>
      <w:bookmarkEnd w:id="3"/>
    </w:p>
    <w:p w14:paraId="2C0EF42E" w14:textId="77777777" w:rsidR="00B16C90" w:rsidRPr="00B16C90" w:rsidRDefault="00B16C90" w:rsidP="00B16C90">
      <w:pPr>
        <w:pStyle w:val="ListParagraph"/>
        <w:numPr>
          <w:ilvl w:val="0"/>
          <w:numId w:val="24"/>
        </w:numPr>
        <w:rPr>
          <w:bCs/>
          <w:vanish/>
        </w:rPr>
      </w:pPr>
    </w:p>
    <w:p w14:paraId="0D946AB3" w14:textId="77777777" w:rsidR="00B16C90" w:rsidRPr="00B16C90" w:rsidRDefault="00B16C90" w:rsidP="00B16C90">
      <w:pPr>
        <w:pStyle w:val="ListParagraph"/>
        <w:numPr>
          <w:ilvl w:val="0"/>
          <w:numId w:val="24"/>
        </w:numPr>
        <w:rPr>
          <w:bCs/>
          <w:vanish/>
        </w:rPr>
      </w:pPr>
    </w:p>
    <w:p w14:paraId="2917A3CE" w14:textId="1B559CA1" w:rsidR="00B16C90" w:rsidRPr="00B16C90" w:rsidRDefault="00E0519E" w:rsidP="00EF3D10">
      <w:pPr>
        <w:pStyle w:val="ListParagraph"/>
        <w:numPr>
          <w:ilvl w:val="1"/>
          <w:numId w:val="24"/>
        </w:numPr>
        <w:rPr>
          <w:bCs/>
        </w:rPr>
      </w:pPr>
      <w:r w:rsidRPr="00B16C90">
        <w:rPr>
          <w:bCs/>
        </w:rPr>
        <w:t>The Local Governing Body (LGB) is responsible for:</w:t>
      </w:r>
    </w:p>
    <w:p w14:paraId="4E5369D2" w14:textId="77777777" w:rsidR="00B16C90" w:rsidRDefault="00B16C90" w:rsidP="00B16C90">
      <w:pPr>
        <w:pStyle w:val="ListParagraph"/>
        <w:numPr>
          <w:ilvl w:val="0"/>
          <w:numId w:val="25"/>
        </w:numPr>
        <w:jc w:val="both"/>
      </w:pPr>
      <w:r>
        <w:t>Ensuring the correct procedures are in place and are followed for all fundraising activities.</w:t>
      </w:r>
    </w:p>
    <w:p w14:paraId="710F74BA" w14:textId="77777777" w:rsidR="00B16C90" w:rsidRDefault="00B16C90" w:rsidP="00B16C90">
      <w:pPr>
        <w:pStyle w:val="ListParagraph"/>
        <w:numPr>
          <w:ilvl w:val="0"/>
          <w:numId w:val="25"/>
        </w:numPr>
        <w:jc w:val="both"/>
      </w:pPr>
      <w:r>
        <w:t>Confirming that all fundraising activities are approved before they commence.</w:t>
      </w:r>
    </w:p>
    <w:p w14:paraId="78FE02CC" w14:textId="77777777" w:rsidR="00B16C90" w:rsidRDefault="00B16C90" w:rsidP="00B16C90">
      <w:pPr>
        <w:pStyle w:val="ListParagraph"/>
        <w:numPr>
          <w:ilvl w:val="0"/>
          <w:numId w:val="25"/>
        </w:numPr>
        <w:jc w:val="both"/>
      </w:pPr>
      <w:r>
        <w:t>Ensuring that all funds raised are accounted for and audited.</w:t>
      </w:r>
    </w:p>
    <w:p w14:paraId="43BE366F" w14:textId="687484A9" w:rsidR="00B16C90" w:rsidRDefault="00B16C90" w:rsidP="00B16C90">
      <w:pPr>
        <w:pStyle w:val="ListParagraph"/>
        <w:numPr>
          <w:ilvl w:val="0"/>
          <w:numId w:val="25"/>
        </w:numPr>
        <w:jc w:val="both"/>
      </w:pPr>
      <w:r>
        <w:t xml:space="preserve">Ensuring money is </w:t>
      </w:r>
      <w:r w:rsidR="00014FE4">
        <w:t>spent</w:t>
      </w:r>
      <w:r>
        <w:t xml:space="preserve"> in accordance with agreements made with donors and fundraisers, and is validated properly.</w:t>
      </w:r>
    </w:p>
    <w:p w14:paraId="733B1092" w14:textId="77777777" w:rsidR="00B16C90" w:rsidRDefault="00B16C90" w:rsidP="00B16C90">
      <w:pPr>
        <w:pStyle w:val="ListParagraph"/>
        <w:numPr>
          <w:ilvl w:val="0"/>
          <w:numId w:val="25"/>
        </w:numPr>
        <w:jc w:val="both"/>
      </w:pPr>
      <w:r>
        <w:t>Ensuring the school’s fundraising activities are compliant with the fundraising approach it has set, the wider law and best practice.</w:t>
      </w:r>
    </w:p>
    <w:p w14:paraId="3BF79F7C" w14:textId="77777777" w:rsidR="00B16C90" w:rsidRDefault="00B16C90" w:rsidP="00B16C90">
      <w:pPr>
        <w:pStyle w:val="ListParagraph"/>
        <w:numPr>
          <w:ilvl w:val="0"/>
          <w:numId w:val="25"/>
        </w:numPr>
        <w:jc w:val="both"/>
      </w:pPr>
      <w:r>
        <w:lastRenderedPageBreak/>
        <w:t>Deciding whether the school will accept, decline or repay donations.</w:t>
      </w:r>
    </w:p>
    <w:p w14:paraId="18748E0B" w14:textId="5BB69D94" w:rsidR="00B16C90" w:rsidRDefault="00B16C90" w:rsidP="00B16C90">
      <w:pPr>
        <w:pStyle w:val="ListParagraph"/>
        <w:numPr>
          <w:ilvl w:val="0"/>
          <w:numId w:val="25"/>
        </w:numPr>
        <w:jc w:val="both"/>
      </w:pPr>
      <w:r>
        <w:t>Acting with reasonable care and skill in the best interests of the school and managing the school’s resources responsibly.</w:t>
      </w:r>
    </w:p>
    <w:p w14:paraId="07C81C5F" w14:textId="77777777" w:rsidR="00B16C90" w:rsidRPr="004831A2" w:rsidRDefault="00B16C90" w:rsidP="00B16C90">
      <w:pPr>
        <w:pStyle w:val="ListParagraph"/>
        <w:ind w:left="1440"/>
      </w:pPr>
    </w:p>
    <w:p w14:paraId="73249686" w14:textId="77777777" w:rsidR="00E0519E" w:rsidRPr="004831A2" w:rsidRDefault="00E0519E" w:rsidP="00B16C90">
      <w:pPr>
        <w:pStyle w:val="ListParagraph"/>
        <w:numPr>
          <w:ilvl w:val="1"/>
          <w:numId w:val="24"/>
        </w:numPr>
      </w:pPr>
      <w:r w:rsidRPr="004831A2">
        <w:t>The Headteacher is responsible for:</w:t>
      </w:r>
    </w:p>
    <w:p w14:paraId="724701EA" w14:textId="22F527AE" w:rsidR="00B16C90" w:rsidRDefault="00B16C90" w:rsidP="00B16C90">
      <w:pPr>
        <w:pStyle w:val="ListParagraph"/>
        <w:numPr>
          <w:ilvl w:val="0"/>
          <w:numId w:val="26"/>
        </w:numPr>
        <w:ind w:left="1418"/>
      </w:pPr>
      <w:r w:rsidRPr="00B16C90">
        <w:t>Approving all fundraising activities, regardless of the potential amount to be raised, ensuring they are relevant to the aims of the school.</w:t>
      </w:r>
    </w:p>
    <w:p w14:paraId="31FFF669" w14:textId="77777777" w:rsidR="00B16C90" w:rsidRPr="004831A2" w:rsidRDefault="00B16C90" w:rsidP="00B16C90">
      <w:pPr>
        <w:pStyle w:val="ListParagraph"/>
        <w:ind w:left="1418"/>
      </w:pPr>
    </w:p>
    <w:p w14:paraId="300AE33C" w14:textId="77777777" w:rsidR="00E0519E" w:rsidRPr="004831A2" w:rsidRDefault="00E0519E" w:rsidP="00B16C90">
      <w:pPr>
        <w:pStyle w:val="ListParagraph"/>
        <w:numPr>
          <w:ilvl w:val="1"/>
          <w:numId w:val="24"/>
        </w:numPr>
      </w:pPr>
      <w:r w:rsidRPr="004831A2">
        <w:t>The School Business Manager (SBM) is responsible for:</w:t>
      </w:r>
    </w:p>
    <w:p w14:paraId="27537ED3" w14:textId="77777777" w:rsidR="00B16C90" w:rsidRDefault="00B16C90" w:rsidP="00B16C90">
      <w:pPr>
        <w:pStyle w:val="ListParagraph"/>
        <w:numPr>
          <w:ilvl w:val="0"/>
          <w:numId w:val="8"/>
        </w:numPr>
        <w:ind w:left="1418"/>
      </w:pPr>
      <w:r>
        <w:t>Monitoring all fundraising activities to ensure they comply with the school’s procedures, this policy and the Code of Fundraising Practice.</w:t>
      </w:r>
    </w:p>
    <w:p w14:paraId="4C83D305" w14:textId="5918A429" w:rsidR="00E0519E" w:rsidRDefault="00B16C90" w:rsidP="00B16C90">
      <w:pPr>
        <w:pStyle w:val="ListParagraph"/>
        <w:numPr>
          <w:ilvl w:val="0"/>
          <w:numId w:val="8"/>
        </w:numPr>
        <w:ind w:left="1418"/>
      </w:pPr>
      <w:r>
        <w:t>Reporting all fundraising approvals and activity to the LGB</w:t>
      </w:r>
      <w:r w:rsidR="00E0519E" w:rsidRPr="004831A2">
        <w:t>.</w:t>
      </w:r>
    </w:p>
    <w:p w14:paraId="1DCFC3A8" w14:textId="77777777" w:rsidR="00B16C90" w:rsidRPr="004831A2" w:rsidRDefault="00B16C90" w:rsidP="00B16C90">
      <w:pPr>
        <w:pStyle w:val="ListParagraph"/>
        <w:ind w:left="1134"/>
      </w:pPr>
    </w:p>
    <w:p w14:paraId="4F3011DF" w14:textId="77777777" w:rsidR="00E0519E" w:rsidRPr="004831A2" w:rsidRDefault="00E0519E" w:rsidP="00B16C90">
      <w:pPr>
        <w:pStyle w:val="ListParagraph"/>
        <w:numPr>
          <w:ilvl w:val="1"/>
          <w:numId w:val="24"/>
        </w:numPr>
      </w:pPr>
      <w:r w:rsidRPr="004831A2">
        <w:t>Fundraisers are responsible for:</w:t>
      </w:r>
    </w:p>
    <w:p w14:paraId="527B8553" w14:textId="77777777" w:rsidR="00B16C90" w:rsidRPr="00B16C90" w:rsidRDefault="00B16C90" w:rsidP="00B16C90">
      <w:pPr>
        <w:pStyle w:val="ListParagraph"/>
        <w:numPr>
          <w:ilvl w:val="0"/>
          <w:numId w:val="28"/>
        </w:numPr>
        <w:ind w:left="1418"/>
        <w:jc w:val="both"/>
      </w:pPr>
      <w:r w:rsidRPr="00B16C90">
        <w:t>Submitting requests for the approval of fundraising activities to the SBM.</w:t>
      </w:r>
    </w:p>
    <w:p w14:paraId="67B69452" w14:textId="5FE2C1A4" w:rsidR="00B16C90" w:rsidRPr="00B16C90" w:rsidRDefault="00B16C90" w:rsidP="00B16C90">
      <w:pPr>
        <w:pStyle w:val="ListParagraph"/>
        <w:numPr>
          <w:ilvl w:val="0"/>
          <w:numId w:val="28"/>
        </w:numPr>
        <w:ind w:left="1418"/>
        <w:jc w:val="both"/>
      </w:pPr>
      <w:r w:rsidRPr="00B16C90">
        <w:t xml:space="preserve">Not soliciting any funds until approval has been obtained from the </w:t>
      </w:r>
      <w:r w:rsidR="00014FE4">
        <w:t>Headteacher</w:t>
      </w:r>
      <w:r w:rsidRPr="00B16C90">
        <w:t>.</w:t>
      </w:r>
    </w:p>
    <w:p w14:paraId="6264FF74" w14:textId="77777777" w:rsidR="00B16C90" w:rsidRPr="00B16C90" w:rsidRDefault="00B16C90" w:rsidP="00B16C90">
      <w:pPr>
        <w:pStyle w:val="ListParagraph"/>
        <w:numPr>
          <w:ilvl w:val="0"/>
          <w:numId w:val="28"/>
        </w:numPr>
        <w:ind w:left="1418"/>
        <w:jc w:val="both"/>
      </w:pPr>
      <w:r w:rsidRPr="00B16C90">
        <w:t>Disclosing any actual or apparent conflict of interest when participating in fundraising activities.</w:t>
      </w:r>
    </w:p>
    <w:p w14:paraId="57A8F409" w14:textId="77777777" w:rsidR="00B16C90" w:rsidRPr="00B16C90" w:rsidRDefault="00B16C90" w:rsidP="00B16C90">
      <w:pPr>
        <w:pStyle w:val="ListParagraph"/>
        <w:numPr>
          <w:ilvl w:val="0"/>
          <w:numId w:val="28"/>
        </w:numPr>
        <w:ind w:left="1418"/>
        <w:jc w:val="both"/>
      </w:pPr>
      <w:r w:rsidRPr="00B16C90">
        <w:t>Acting with fairness, honesty, integrity and openness when carrying out fundraising activities.</w:t>
      </w:r>
    </w:p>
    <w:p w14:paraId="3A5B1DBA" w14:textId="07A6D085" w:rsidR="00E0519E" w:rsidRDefault="00B16C90" w:rsidP="00B16C90">
      <w:pPr>
        <w:pStyle w:val="ListParagraph"/>
        <w:numPr>
          <w:ilvl w:val="0"/>
          <w:numId w:val="28"/>
        </w:numPr>
        <w:ind w:left="1418"/>
        <w:jc w:val="both"/>
      </w:pPr>
      <w:r w:rsidRPr="00B16C90">
        <w:t>Not accepting donations for purposes that are not consistent with the school’s objectives.</w:t>
      </w:r>
    </w:p>
    <w:p w14:paraId="790ABC5E" w14:textId="3AE01879" w:rsidR="0038179C" w:rsidRDefault="0038179C" w:rsidP="0038179C"/>
    <w:p w14:paraId="2FD43208" w14:textId="4F3201BC" w:rsidR="0038179C" w:rsidRDefault="0038179C" w:rsidP="0038179C"/>
    <w:p w14:paraId="089CBA0E" w14:textId="2C9D683F" w:rsidR="0038179C" w:rsidRDefault="0038179C" w:rsidP="0038179C"/>
    <w:p w14:paraId="60DCC3F7" w14:textId="2F3FB9BC" w:rsidR="0038179C" w:rsidRDefault="0038179C" w:rsidP="0038179C"/>
    <w:p w14:paraId="6B3D00FB" w14:textId="169E0626" w:rsidR="0038179C" w:rsidRDefault="0038179C" w:rsidP="0038179C"/>
    <w:p w14:paraId="3B5B7498" w14:textId="56E4E993" w:rsidR="0038179C" w:rsidRDefault="0038179C" w:rsidP="0038179C"/>
    <w:p w14:paraId="68DAAA57" w14:textId="08C71F9B" w:rsidR="0038179C" w:rsidRDefault="0038179C" w:rsidP="0038179C"/>
    <w:p w14:paraId="66B05DD5" w14:textId="19FD3D73" w:rsidR="0038179C" w:rsidRDefault="0038179C" w:rsidP="0038179C"/>
    <w:p w14:paraId="58C41FFD" w14:textId="066AAB8C" w:rsidR="0038179C" w:rsidRDefault="0038179C" w:rsidP="0038179C"/>
    <w:p w14:paraId="2368E58E" w14:textId="0236FA92" w:rsidR="0038179C" w:rsidRDefault="0038179C" w:rsidP="0038179C"/>
    <w:p w14:paraId="1BA5ED05" w14:textId="588C6E97" w:rsidR="0038179C" w:rsidRDefault="0038179C" w:rsidP="0038179C"/>
    <w:p w14:paraId="79D9420C" w14:textId="6C9B37AC" w:rsidR="0038179C" w:rsidRDefault="0038179C" w:rsidP="0038179C"/>
    <w:p w14:paraId="71589136" w14:textId="32C0E2BA" w:rsidR="0038179C" w:rsidRDefault="0038179C" w:rsidP="0038179C"/>
    <w:p w14:paraId="22B9EAC4" w14:textId="123E36F0" w:rsidR="0038179C" w:rsidRDefault="0038179C" w:rsidP="0038179C"/>
    <w:p w14:paraId="576DFF7F" w14:textId="64AEBB4F" w:rsidR="0038179C" w:rsidRDefault="0038179C" w:rsidP="0038179C"/>
    <w:p w14:paraId="5053D3E2" w14:textId="5ECFA72E" w:rsidR="0038179C" w:rsidRDefault="0038179C" w:rsidP="0038179C"/>
    <w:p w14:paraId="4D668427" w14:textId="626307CD" w:rsidR="0038179C" w:rsidRDefault="0038179C" w:rsidP="0038179C"/>
    <w:p w14:paraId="271BB913" w14:textId="4A3ACE20" w:rsidR="0038179C" w:rsidRDefault="0038179C" w:rsidP="0038179C"/>
    <w:p w14:paraId="6439CADB" w14:textId="77777777" w:rsidR="00E021F2" w:rsidRDefault="00E021F2" w:rsidP="0002505C">
      <w:pPr>
        <w:pStyle w:val="Heading3"/>
        <w:sectPr w:rsidR="00E021F2" w:rsidSect="00BA0F3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pPr>
    </w:p>
    <w:p w14:paraId="40EA162B" w14:textId="37EEEE53" w:rsidR="00D25A07" w:rsidRPr="00D25A07" w:rsidRDefault="00D25A07" w:rsidP="0002505C">
      <w:pPr>
        <w:pStyle w:val="Heading3"/>
      </w:pPr>
      <w:bookmarkStart w:id="4" w:name="_Toc48135838"/>
      <w:r w:rsidRPr="00D25A07">
        <w:lastRenderedPageBreak/>
        <w:t xml:space="preserve">Policy </w:t>
      </w:r>
      <w:r>
        <w:t>in Detail</w:t>
      </w:r>
      <w:bookmarkEnd w:id="4"/>
    </w:p>
    <w:p w14:paraId="169EF8A1" w14:textId="5325A4C8" w:rsidR="0002505C" w:rsidRDefault="0002505C" w:rsidP="0002505C">
      <w:pPr>
        <w:pStyle w:val="Subtitle"/>
        <w:rPr>
          <w:highlight w:val="yellow"/>
        </w:rPr>
      </w:pPr>
    </w:p>
    <w:p w14:paraId="6F6135FA" w14:textId="4DF7EC00" w:rsidR="00D25A07" w:rsidRPr="00D25A07" w:rsidRDefault="00FA2BAF" w:rsidP="00B16C90">
      <w:pPr>
        <w:pStyle w:val="Subtitle"/>
        <w:numPr>
          <w:ilvl w:val="0"/>
          <w:numId w:val="29"/>
        </w:numPr>
        <w:ind w:left="426"/>
      </w:pPr>
      <w:bookmarkStart w:id="5" w:name="_Toc48135839"/>
      <w:r>
        <w:t>Approval of Fundraising</w:t>
      </w:r>
      <w:bookmarkEnd w:id="5"/>
    </w:p>
    <w:p w14:paraId="338C1D9B" w14:textId="77777777" w:rsidR="00C261F5" w:rsidRPr="00C261F5" w:rsidRDefault="00C261F5" w:rsidP="00C261F5">
      <w:pPr>
        <w:pStyle w:val="ListParagraph"/>
        <w:numPr>
          <w:ilvl w:val="0"/>
          <w:numId w:val="24"/>
        </w:numPr>
        <w:rPr>
          <w:vanish/>
        </w:rPr>
      </w:pPr>
    </w:p>
    <w:p w14:paraId="1D19164B" w14:textId="59D00F61" w:rsidR="00B16C90" w:rsidRDefault="00B16C90" w:rsidP="00C261F5">
      <w:pPr>
        <w:pStyle w:val="ListParagraph"/>
        <w:numPr>
          <w:ilvl w:val="1"/>
          <w:numId w:val="24"/>
        </w:numPr>
      </w:pPr>
      <w:r>
        <w:t>Fundraising will be recognised if it is consistent with the school’s aims.</w:t>
      </w:r>
      <w:r w:rsidR="00C261F5">
        <w:br/>
      </w:r>
    </w:p>
    <w:p w14:paraId="6678FD8E" w14:textId="5418942B" w:rsidR="00B16C90" w:rsidRDefault="00C261F5" w:rsidP="00C261F5">
      <w:pPr>
        <w:pStyle w:val="ListParagraph"/>
        <w:numPr>
          <w:ilvl w:val="1"/>
          <w:numId w:val="24"/>
        </w:numPr>
      </w:pPr>
      <w:r>
        <w:t>A</w:t>
      </w:r>
      <w:r w:rsidR="00B16C90">
        <w:t xml:space="preserve">ll fundraising </w:t>
      </w:r>
      <w:r w:rsidR="00014FE4">
        <w:t xml:space="preserve">in the schools name </w:t>
      </w:r>
      <w:r w:rsidR="00B16C90">
        <w:t xml:space="preserve">that takes place both inside or outside the school must be approved in advance by the </w:t>
      </w:r>
      <w:r w:rsidR="007B24D7">
        <w:t>HT</w:t>
      </w:r>
      <w:r w:rsidR="00B16C90">
        <w:t>, regardless of the potential amount to be raised. The SBM will report all approvals to the LGB.</w:t>
      </w:r>
      <w:r>
        <w:br/>
      </w:r>
    </w:p>
    <w:p w14:paraId="4AA42746" w14:textId="0B9C6C77" w:rsidR="00B16C90" w:rsidRDefault="00B16C90" w:rsidP="00C261F5">
      <w:pPr>
        <w:pStyle w:val="ListParagraph"/>
        <w:numPr>
          <w:ilvl w:val="1"/>
          <w:numId w:val="24"/>
        </w:numPr>
      </w:pPr>
      <w:r>
        <w:t xml:space="preserve">Where a member of staff becomes aware that an external body is raising funds on behalf of </w:t>
      </w:r>
      <w:r>
        <w:br/>
        <w:t xml:space="preserve">the school, the </w:t>
      </w:r>
      <w:r w:rsidR="007B24D7">
        <w:t>HT</w:t>
      </w:r>
      <w:r>
        <w:t xml:space="preserve"> must be notified so that the fundraising can be approved, and the school can accept the donation.</w:t>
      </w:r>
      <w:r w:rsidR="00C261F5">
        <w:br/>
      </w:r>
    </w:p>
    <w:p w14:paraId="77AFC3B0" w14:textId="10C48DBD" w:rsidR="00FA2BAF" w:rsidRPr="00FA2BAF" w:rsidRDefault="00B16C90" w:rsidP="00C261F5">
      <w:pPr>
        <w:pStyle w:val="ListParagraph"/>
        <w:numPr>
          <w:ilvl w:val="1"/>
          <w:numId w:val="24"/>
        </w:numPr>
      </w:pPr>
      <w:r>
        <w:t>Submissions for the approval of fundraising will outline</w:t>
      </w:r>
      <w:r w:rsidR="00FA2BAF" w:rsidRPr="00FA2BAF">
        <w:t>:</w:t>
      </w:r>
    </w:p>
    <w:p w14:paraId="504BA03E" w14:textId="77777777" w:rsidR="00B16C90" w:rsidRDefault="00B16C90" w:rsidP="00B16C90">
      <w:pPr>
        <w:pStyle w:val="ListParagraph"/>
        <w:numPr>
          <w:ilvl w:val="0"/>
          <w:numId w:val="30"/>
        </w:numPr>
        <w:ind w:left="1134"/>
      </w:pPr>
      <w:r>
        <w:t>The reasons for why the funds are being raised.</w:t>
      </w:r>
    </w:p>
    <w:p w14:paraId="004F3DEC" w14:textId="77777777" w:rsidR="00B16C90" w:rsidRDefault="00B16C90" w:rsidP="00B16C90">
      <w:pPr>
        <w:pStyle w:val="ListParagraph"/>
        <w:numPr>
          <w:ilvl w:val="0"/>
          <w:numId w:val="30"/>
        </w:numPr>
        <w:ind w:left="1134"/>
      </w:pPr>
      <w:r>
        <w:t>How the funds will be raised, e.g. collections or raffles.</w:t>
      </w:r>
    </w:p>
    <w:p w14:paraId="7B074093" w14:textId="77777777" w:rsidR="00B16C90" w:rsidRDefault="00B16C90" w:rsidP="00B16C90">
      <w:pPr>
        <w:pStyle w:val="ListParagraph"/>
        <w:numPr>
          <w:ilvl w:val="0"/>
          <w:numId w:val="30"/>
        </w:numPr>
        <w:ind w:left="1134"/>
      </w:pPr>
      <w:r>
        <w:t>The capital and revenue costs.</w:t>
      </w:r>
    </w:p>
    <w:p w14:paraId="6045504C" w14:textId="77777777" w:rsidR="00B16C90" w:rsidRDefault="00B16C90" w:rsidP="00B16C90">
      <w:pPr>
        <w:pStyle w:val="ListParagraph"/>
        <w:numPr>
          <w:ilvl w:val="0"/>
          <w:numId w:val="30"/>
        </w:numPr>
        <w:ind w:left="1134"/>
      </w:pPr>
      <w:r>
        <w:t>A proposed source of funding (if it is additional to that covered by the planned fundraising activities).</w:t>
      </w:r>
    </w:p>
    <w:p w14:paraId="5E265670" w14:textId="77777777" w:rsidR="00B16C90" w:rsidRDefault="00B16C90" w:rsidP="00B16C90">
      <w:pPr>
        <w:pStyle w:val="ListParagraph"/>
        <w:numPr>
          <w:ilvl w:val="0"/>
          <w:numId w:val="30"/>
        </w:numPr>
        <w:ind w:left="1134"/>
      </w:pPr>
      <w:r>
        <w:t>If money is being raised for new equipment, a timescale for within which the current equipment will be replaced.</w:t>
      </w:r>
    </w:p>
    <w:p w14:paraId="7FCEF6ED" w14:textId="77777777" w:rsidR="00B16C90" w:rsidRDefault="00B16C90" w:rsidP="00B16C90">
      <w:pPr>
        <w:pStyle w:val="ListParagraph"/>
        <w:numPr>
          <w:ilvl w:val="0"/>
          <w:numId w:val="30"/>
        </w:numPr>
        <w:ind w:left="1134"/>
      </w:pPr>
      <w:r>
        <w:t>Details of any risk assessments that will need to be conducted.</w:t>
      </w:r>
    </w:p>
    <w:p w14:paraId="41E3E60C" w14:textId="1CA0E7B5" w:rsidR="00B16C90" w:rsidRDefault="00B16C90" w:rsidP="00C261F5">
      <w:pPr>
        <w:pStyle w:val="ListParagraph"/>
        <w:numPr>
          <w:ilvl w:val="0"/>
          <w:numId w:val="30"/>
        </w:numPr>
        <w:spacing w:after="0"/>
        <w:ind w:left="1134" w:hanging="357"/>
      </w:pPr>
      <w:r>
        <w:t>A timescale for completion.</w:t>
      </w:r>
      <w:r w:rsidR="00C261F5">
        <w:br/>
      </w:r>
    </w:p>
    <w:p w14:paraId="4CAEE820" w14:textId="35ABE051" w:rsidR="00B36339" w:rsidRPr="00C63AC6" w:rsidRDefault="00B16C90" w:rsidP="00C63AC6">
      <w:pPr>
        <w:pStyle w:val="ListParagraph"/>
        <w:numPr>
          <w:ilvl w:val="1"/>
          <w:numId w:val="24"/>
        </w:numPr>
        <w:jc w:val="both"/>
      </w:pPr>
      <w:r w:rsidRPr="00B16C90">
        <w:t xml:space="preserve">Any member of staff </w:t>
      </w:r>
      <w:r w:rsidR="007B24D7">
        <w:t>who</w:t>
      </w:r>
      <w:r w:rsidRPr="00B16C90">
        <w:t xml:space="preserve"> wishes to initiate small-scale funding projects</w:t>
      </w:r>
      <w:r w:rsidR="007B24D7">
        <w:t xml:space="preserve"> (less than £100)</w:t>
      </w:r>
      <w:r w:rsidRPr="00B16C90">
        <w:t xml:space="preserve"> that are linked to curriculum objectives will confer with the SBM before these commence. These activities may fall outside the remit of this policy, but the SBM must be informed to ensure the school’s financial procedures are maintained.</w:t>
      </w:r>
    </w:p>
    <w:p w14:paraId="67BD40D1" w14:textId="77777777" w:rsidR="00C261F5" w:rsidRPr="00C261F5" w:rsidRDefault="00C261F5" w:rsidP="00C261F5"/>
    <w:p w14:paraId="30AEA40D" w14:textId="547C233A" w:rsidR="00C261F5" w:rsidRDefault="00FA2BAF" w:rsidP="00C261F5">
      <w:pPr>
        <w:pStyle w:val="Subtitle"/>
        <w:numPr>
          <w:ilvl w:val="0"/>
          <w:numId w:val="29"/>
        </w:numPr>
        <w:ind w:left="426"/>
      </w:pPr>
      <w:bookmarkStart w:id="6" w:name="_Toc48135840"/>
      <w:r w:rsidRPr="00FA2BAF">
        <w:t xml:space="preserve">Donors’ </w:t>
      </w:r>
      <w:r w:rsidR="00B36339">
        <w:t>R</w:t>
      </w:r>
      <w:r w:rsidRPr="00FA2BAF">
        <w:t>ights</w:t>
      </w:r>
      <w:bookmarkEnd w:id="6"/>
      <w:r w:rsidR="00C261F5" w:rsidRPr="00C261F5">
        <w:t xml:space="preserve"> </w:t>
      </w:r>
    </w:p>
    <w:p w14:paraId="4D2CDD28" w14:textId="77777777" w:rsidR="00C261F5" w:rsidRPr="00C261F5" w:rsidRDefault="00C261F5" w:rsidP="00C261F5">
      <w:pPr>
        <w:pStyle w:val="ListParagraph"/>
        <w:numPr>
          <w:ilvl w:val="0"/>
          <w:numId w:val="24"/>
        </w:numPr>
        <w:rPr>
          <w:vanish/>
        </w:rPr>
      </w:pPr>
    </w:p>
    <w:p w14:paraId="36D8631C" w14:textId="49C607FA" w:rsidR="00C261F5" w:rsidRDefault="00C261F5" w:rsidP="00C261F5">
      <w:pPr>
        <w:pStyle w:val="ListParagraph"/>
        <w:numPr>
          <w:ilvl w:val="1"/>
          <w:numId w:val="24"/>
        </w:numPr>
        <w:ind w:left="789"/>
      </w:pPr>
      <w:r>
        <w:t>Upon request, donors and prospective donors are entitled to receive a copy of this policy. If a copy of the Trust’s most recent annual reports and financial statements is requested, these can be obtained free of charge from companies house online.</w:t>
      </w:r>
    </w:p>
    <w:p w14:paraId="334029C8" w14:textId="77777777" w:rsidR="00C261F5" w:rsidRDefault="00C261F5" w:rsidP="00C261F5">
      <w:pPr>
        <w:pStyle w:val="ListParagraph"/>
        <w:ind w:left="788"/>
      </w:pPr>
    </w:p>
    <w:p w14:paraId="0648E2C8" w14:textId="27C24D92" w:rsidR="00C261F5" w:rsidRDefault="00C261F5" w:rsidP="00C261F5">
      <w:pPr>
        <w:pStyle w:val="ListParagraph"/>
        <w:numPr>
          <w:ilvl w:val="1"/>
          <w:numId w:val="24"/>
        </w:numPr>
        <w:ind w:left="788" w:hanging="431"/>
      </w:pPr>
      <w:r>
        <w:t>The school will take account of the needs of donors who may be vulnerable or need additional support to make an informed decision about a donation. The school will not take advantage of credulity, lack of knowledge or the apparent need for support or vulnerable circumstance of any donor.</w:t>
      </w:r>
      <w:r>
        <w:br/>
      </w:r>
    </w:p>
    <w:p w14:paraId="25CCBE39" w14:textId="6426AD48" w:rsidR="00C261F5" w:rsidRDefault="00C261F5" w:rsidP="00C261F5">
      <w:pPr>
        <w:pStyle w:val="ListParagraph"/>
        <w:numPr>
          <w:ilvl w:val="1"/>
          <w:numId w:val="24"/>
        </w:numPr>
        <w:ind w:left="788" w:hanging="431"/>
      </w:pPr>
      <w:r>
        <w:t>Upon request, donors and prospective donors are entitled to know whether an individual soliciting funds on behalf of the school is a volunteer, employee or contractor working for a paid third-party organisation. Donors are also entitled to know whether the individual is receiving remuneration for fundraising.</w:t>
      </w:r>
    </w:p>
    <w:p w14:paraId="3AD29BCB" w14:textId="77777777" w:rsidR="00C261F5" w:rsidRDefault="00C261F5" w:rsidP="00C261F5">
      <w:pPr>
        <w:pStyle w:val="ListParagraph"/>
        <w:ind w:left="788"/>
      </w:pPr>
    </w:p>
    <w:p w14:paraId="33ADF527" w14:textId="3DECD9C5" w:rsidR="00C261F5" w:rsidRDefault="00C261F5" w:rsidP="00C261F5">
      <w:pPr>
        <w:pStyle w:val="ListParagraph"/>
        <w:numPr>
          <w:ilvl w:val="1"/>
          <w:numId w:val="24"/>
        </w:numPr>
        <w:ind w:left="788" w:hanging="431"/>
      </w:pPr>
      <w:r>
        <w:t>If a donor requests to remain anonymous, their privacy will be respected.</w:t>
      </w:r>
      <w:r>
        <w:br/>
      </w:r>
    </w:p>
    <w:p w14:paraId="3131AECF" w14:textId="4D2D317B" w:rsidR="00C261F5" w:rsidRDefault="00C261F5" w:rsidP="00C261F5">
      <w:pPr>
        <w:pStyle w:val="ListParagraph"/>
        <w:numPr>
          <w:ilvl w:val="1"/>
          <w:numId w:val="24"/>
        </w:numPr>
        <w:ind w:left="788" w:hanging="431"/>
      </w:pPr>
      <w:r>
        <w:lastRenderedPageBreak/>
        <w:t xml:space="preserve">Donors must be treated with respect – every effort will be made to honour their requests regarding the frequency of fundraising solicitations and the format these solicitations take. </w:t>
      </w:r>
      <w:r>
        <w:br/>
      </w:r>
    </w:p>
    <w:p w14:paraId="5A0BFD23" w14:textId="1A3B5BD2" w:rsidR="00C261F5" w:rsidRDefault="00C261F5" w:rsidP="00C261F5">
      <w:pPr>
        <w:pStyle w:val="ListParagraph"/>
        <w:numPr>
          <w:ilvl w:val="1"/>
          <w:numId w:val="24"/>
        </w:numPr>
        <w:ind w:left="788" w:hanging="431"/>
      </w:pPr>
      <w:r>
        <w:t xml:space="preserve">Donors’ personal data obtained for the purpose of fundraising solicitations will be processed, stored and accessed in accordance with the Trust’s and school’s </w:t>
      </w:r>
      <w:r w:rsidR="007B24D7">
        <w:t>GDPR policies</w:t>
      </w:r>
      <w:r>
        <w:t>.</w:t>
      </w:r>
      <w:r>
        <w:br/>
      </w:r>
    </w:p>
    <w:p w14:paraId="18FAFB90" w14:textId="25BACBF9" w:rsidR="00C261F5" w:rsidRDefault="00C261F5" w:rsidP="00C261F5">
      <w:pPr>
        <w:pStyle w:val="ListParagraph"/>
        <w:numPr>
          <w:ilvl w:val="1"/>
          <w:numId w:val="24"/>
        </w:numPr>
        <w:ind w:left="788" w:hanging="431"/>
      </w:pPr>
      <w:r>
        <w:t>If donors or prospective donors request to opt-out of receiving promotional fundraising materials or from the processing of their personal data, the request will be honoured, and no further communication will take place.</w:t>
      </w:r>
      <w:r>
        <w:br/>
      </w:r>
    </w:p>
    <w:p w14:paraId="6F91809A" w14:textId="4602467D" w:rsidR="00C261F5" w:rsidRDefault="00C261F5" w:rsidP="00C261F5">
      <w:pPr>
        <w:pStyle w:val="ListParagraph"/>
        <w:numPr>
          <w:ilvl w:val="1"/>
          <w:numId w:val="24"/>
        </w:numPr>
        <w:ind w:left="788" w:hanging="431"/>
      </w:pPr>
      <w:r>
        <w:t xml:space="preserve">If circumstances change, donors may request the repayment of part or </w:t>
      </w:r>
      <w:proofErr w:type="gramStart"/>
      <w:r>
        <w:t>all of</w:t>
      </w:r>
      <w:proofErr w:type="gramEnd"/>
      <w:r>
        <w:t xml:space="preserve"> their donation. It is for the LGB to decide whether a donation will be repaid</w:t>
      </w:r>
      <w:r w:rsidR="007B24D7">
        <w:t xml:space="preserve"> (see section 6 of this policy).</w:t>
      </w:r>
    </w:p>
    <w:p w14:paraId="37B086D0" w14:textId="77777777" w:rsidR="00C261F5" w:rsidRDefault="00C261F5" w:rsidP="00C261F5">
      <w:pPr>
        <w:pStyle w:val="ListParagraph"/>
        <w:ind w:left="792"/>
      </w:pPr>
    </w:p>
    <w:p w14:paraId="31444DDC" w14:textId="174E9ED8" w:rsidR="00FA2BAF" w:rsidRPr="00FA2BAF" w:rsidRDefault="00FA2BAF" w:rsidP="00C261F5">
      <w:pPr>
        <w:pStyle w:val="Subtitle"/>
        <w:numPr>
          <w:ilvl w:val="0"/>
          <w:numId w:val="24"/>
        </w:numPr>
      </w:pPr>
      <w:bookmarkStart w:id="7" w:name="_Toc48135841"/>
      <w:r w:rsidRPr="00FA2BAF">
        <w:t xml:space="preserve">Soliciting </w:t>
      </w:r>
      <w:r w:rsidR="00B36339">
        <w:t>F</w:t>
      </w:r>
      <w:r w:rsidRPr="00FA2BAF">
        <w:t>unds</w:t>
      </w:r>
      <w:bookmarkEnd w:id="7"/>
    </w:p>
    <w:p w14:paraId="307F3D27" w14:textId="339466FA" w:rsidR="00C261F5" w:rsidRDefault="00C261F5" w:rsidP="00C261F5">
      <w:pPr>
        <w:pStyle w:val="ListParagraph"/>
        <w:numPr>
          <w:ilvl w:val="1"/>
          <w:numId w:val="24"/>
        </w:numPr>
        <w:ind w:left="788" w:hanging="431"/>
      </w:pPr>
      <w:r>
        <w:t>Publicity and promotional activities will be truthful, provide an accurate description of the activities and intended use of donated funds, and respect the privacy of those who benefit from the activities.</w:t>
      </w:r>
      <w:r>
        <w:br/>
      </w:r>
    </w:p>
    <w:p w14:paraId="1C59D491" w14:textId="5F3F59DD" w:rsidR="00C261F5" w:rsidRDefault="00C261F5" w:rsidP="00C261F5">
      <w:pPr>
        <w:pStyle w:val="ListParagraph"/>
        <w:numPr>
          <w:ilvl w:val="1"/>
          <w:numId w:val="24"/>
        </w:numPr>
        <w:ind w:left="788" w:hanging="431"/>
      </w:pPr>
      <w:r>
        <w:t>Donors and prospective donors will be provided with an option to opt-out or to withdraw consent for either receiving or being included in promotional materials.</w:t>
      </w:r>
      <w:r>
        <w:br/>
      </w:r>
    </w:p>
    <w:p w14:paraId="2E5A8DF6" w14:textId="77777777" w:rsidR="00C261F5" w:rsidRDefault="00C261F5" w:rsidP="00C261F5">
      <w:pPr>
        <w:pStyle w:val="ListParagraph"/>
        <w:numPr>
          <w:ilvl w:val="1"/>
          <w:numId w:val="24"/>
        </w:numPr>
        <w:ind w:left="788" w:hanging="431"/>
      </w:pPr>
      <w:r>
        <w:t xml:space="preserve">The school’s fundraising materials: </w:t>
      </w:r>
    </w:p>
    <w:p w14:paraId="4D9D08A7" w14:textId="77777777" w:rsidR="00C261F5" w:rsidRDefault="00C261F5" w:rsidP="00C261F5">
      <w:pPr>
        <w:pStyle w:val="ListParagraph"/>
      </w:pPr>
    </w:p>
    <w:p w14:paraId="6B0A0985" w14:textId="77777777" w:rsidR="00C261F5" w:rsidRDefault="00C261F5" w:rsidP="00C261F5">
      <w:pPr>
        <w:pStyle w:val="ListParagraph"/>
        <w:numPr>
          <w:ilvl w:val="0"/>
          <w:numId w:val="32"/>
        </w:numPr>
        <w:ind w:left="1134"/>
      </w:pPr>
      <w:r>
        <w:t>Will not be indecent, offensive or carry intent to cause distress or anxiety.</w:t>
      </w:r>
    </w:p>
    <w:p w14:paraId="7B1C15B2" w14:textId="77777777" w:rsidR="00C261F5" w:rsidRDefault="00C261F5" w:rsidP="00C261F5">
      <w:pPr>
        <w:pStyle w:val="ListParagraph"/>
        <w:numPr>
          <w:ilvl w:val="0"/>
          <w:numId w:val="32"/>
        </w:numPr>
        <w:ind w:left="1134"/>
      </w:pPr>
      <w:r>
        <w:t>Will not contain copyrighted material, watermarks or other intellectual property without the owner’s permission.</w:t>
      </w:r>
    </w:p>
    <w:p w14:paraId="7F793A88" w14:textId="77777777" w:rsidR="00C261F5" w:rsidRDefault="00C261F5" w:rsidP="00C261F5">
      <w:pPr>
        <w:pStyle w:val="ListParagraph"/>
        <w:numPr>
          <w:ilvl w:val="0"/>
          <w:numId w:val="32"/>
        </w:numPr>
        <w:ind w:left="1134"/>
      </w:pPr>
      <w:r>
        <w:t>Will disclose the school’s registered name and full contact information for the school and department involved.</w:t>
      </w:r>
    </w:p>
    <w:p w14:paraId="68C770C2" w14:textId="77777777" w:rsidR="00C261F5" w:rsidRDefault="00C261F5" w:rsidP="00C261F5">
      <w:pPr>
        <w:pStyle w:val="ListParagraph"/>
        <w:numPr>
          <w:ilvl w:val="0"/>
          <w:numId w:val="32"/>
        </w:numPr>
        <w:ind w:left="1134"/>
      </w:pPr>
      <w:r>
        <w:t>Will not imply that funds are being raised for a specific purpose if this is not the case.</w:t>
      </w:r>
    </w:p>
    <w:p w14:paraId="463DBE55" w14:textId="77777777" w:rsidR="00C261F5" w:rsidRDefault="00C261F5" w:rsidP="00C261F5">
      <w:pPr>
        <w:pStyle w:val="ListParagraph"/>
        <w:numPr>
          <w:ilvl w:val="0"/>
          <w:numId w:val="32"/>
        </w:numPr>
        <w:ind w:left="1134"/>
      </w:pPr>
      <w:r>
        <w:t>Will be clear on whether funds are being raised for the school or another purpose, and in what proportions.</w:t>
      </w:r>
    </w:p>
    <w:p w14:paraId="49BBA662" w14:textId="77777777" w:rsidR="00C261F5" w:rsidRDefault="00C261F5" w:rsidP="00C261F5">
      <w:pPr>
        <w:pStyle w:val="ListParagraph"/>
        <w:numPr>
          <w:ilvl w:val="0"/>
          <w:numId w:val="32"/>
        </w:numPr>
        <w:ind w:left="1134"/>
      </w:pPr>
      <w:r>
        <w:t>Will be legal, honest and truthful and in compliance with the rules outlined in Committee of Advertising Practice Code and Broadcasting Committee of Advertising Practice (BCAP), as appropriate.</w:t>
      </w:r>
    </w:p>
    <w:p w14:paraId="3EEADFD5" w14:textId="77777777" w:rsidR="00C261F5" w:rsidRDefault="00C261F5" w:rsidP="00C261F5">
      <w:pPr>
        <w:pStyle w:val="ListParagraph"/>
        <w:numPr>
          <w:ilvl w:val="0"/>
          <w:numId w:val="32"/>
        </w:numPr>
        <w:ind w:left="1134"/>
      </w:pPr>
      <w:r>
        <w:t>Will not be misleading, e.g. due to inaccuracy.</w:t>
      </w:r>
    </w:p>
    <w:p w14:paraId="5899CF84" w14:textId="59BC6A6D" w:rsidR="00C261F5" w:rsidRDefault="007B24D7" w:rsidP="00C261F5">
      <w:pPr>
        <w:pStyle w:val="ListParagraph"/>
        <w:numPr>
          <w:ilvl w:val="0"/>
          <w:numId w:val="32"/>
        </w:numPr>
        <w:ind w:left="1134"/>
      </w:pPr>
      <w:r>
        <w:t>Will not cause offence.</w:t>
      </w:r>
    </w:p>
    <w:p w14:paraId="08DAD67E" w14:textId="4E63755A" w:rsidR="00FA2BAF" w:rsidRPr="00FA2BAF" w:rsidRDefault="00FA2BAF" w:rsidP="00C261F5">
      <w:r w:rsidRPr="00C63AC6">
        <w:t>The school will not solicit funds:</w:t>
      </w:r>
    </w:p>
    <w:p w14:paraId="7F3096EB" w14:textId="77777777" w:rsidR="007B014D" w:rsidRDefault="007B014D" w:rsidP="007B014D">
      <w:pPr>
        <w:pStyle w:val="ListParagraph"/>
        <w:numPr>
          <w:ilvl w:val="0"/>
          <w:numId w:val="32"/>
        </w:numPr>
        <w:ind w:left="1134"/>
      </w:pPr>
      <w:r>
        <w:t>From individuals who have clearly indicated that they do not wish to engage in the activities.</w:t>
      </w:r>
    </w:p>
    <w:p w14:paraId="061AA624" w14:textId="77777777" w:rsidR="007B014D" w:rsidRDefault="007B014D" w:rsidP="007B014D">
      <w:pPr>
        <w:pStyle w:val="ListParagraph"/>
        <w:numPr>
          <w:ilvl w:val="0"/>
          <w:numId w:val="32"/>
        </w:numPr>
        <w:ind w:left="1134"/>
      </w:pPr>
      <w:r>
        <w:t>If it has reasonable grounds for believing an individual is in vulnerable circumstances and is unable to make an informed decision to donate.</w:t>
      </w:r>
    </w:p>
    <w:p w14:paraId="476474CA" w14:textId="77777777" w:rsidR="007B014D" w:rsidRDefault="007B014D" w:rsidP="007B014D">
      <w:pPr>
        <w:pStyle w:val="ListParagraph"/>
        <w:numPr>
          <w:ilvl w:val="0"/>
          <w:numId w:val="32"/>
        </w:numPr>
        <w:ind w:left="1134"/>
      </w:pPr>
      <w:r>
        <w:t>From individuals who have chosen not to receive fundraising contact through the fundraising preference service.</w:t>
      </w:r>
    </w:p>
    <w:p w14:paraId="73E14EAF" w14:textId="77777777" w:rsidR="007B014D" w:rsidRDefault="007B014D" w:rsidP="007B014D">
      <w:pPr>
        <w:pStyle w:val="ListParagraph"/>
        <w:numPr>
          <w:ilvl w:val="0"/>
          <w:numId w:val="32"/>
        </w:numPr>
        <w:ind w:left="1134"/>
      </w:pPr>
      <w:r>
        <w:t>Through electronic means without explicit consent to do so.</w:t>
      </w:r>
    </w:p>
    <w:p w14:paraId="354249B4" w14:textId="25947F98" w:rsidR="00C261F5" w:rsidRDefault="007B014D" w:rsidP="007B014D">
      <w:pPr>
        <w:pStyle w:val="ListParagraph"/>
        <w:numPr>
          <w:ilvl w:val="0"/>
          <w:numId w:val="32"/>
        </w:numPr>
        <w:ind w:left="1134"/>
      </w:pPr>
      <w:r>
        <w:t>Via telephone.</w:t>
      </w:r>
    </w:p>
    <w:p w14:paraId="722C19BA" w14:textId="08277FC4" w:rsidR="00C261F5" w:rsidRDefault="00C261F5" w:rsidP="00C261F5">
      <w:pPr>
        <w:pStyle w:val="ListParagraph"/>
        <w:ind w:left="1134"/>
      </w:pPr>
    </w:p>
    <w:p w14:paraId="6E5D4436" w14:textId="77777777" w:rsidR="00C261F5" w:rsidRPr="00FA2BAF" w:rsidRDefault="00C261F5" w:rsidP="00C261F5">
      <w:pPr>
        <w:pStyle w:val="ListParagraph"/>
        <w:ind w:left="1134"/>
      </w:pPr>
    </w:p>
    <w:p w14:paraId="2FD93AA5" w14:textId="77777777" w:rsidR="007B014D" w:rsidRDefault="007B014D" w:rsidP="00FA2BAF">
      <w:pPr>
        <w:pStyle w:val="Subtitle"/>
        <w:sectPr w:rsidR="007B014D" w:rsidSect="00C63AC6">
          <w:footerReference w:type="default" r:id="rId21"/>
          <w:pgSz w:w="11906" w:h="16838"/>
          <w:pgMar w:top="1440" w:right="1440" w:bottom="1440" w:left="1440" w:header="708" w:footer="708" w:gutter="0"/>
          <w:cols w:space="708"/>
          <w:docGrid w:linePitch="360"/>
        </w:sectPr>
      </w:pPr>
    </w:p>
    <w:p w14:paraId="3E8B4DF3" w14:textId="4C6EC69C" w:rsidR="00FA2BAF" w:rsidRPr="00FA2BAF" w:rsidRDefault="00FA2BAF" w:rsidP="007B014D">
      <w:pPr>
        <w:pStyle w:val="Subtitle"/>
        <w:numPr>
          <w:ilvl w:val="0"/>
          <w:numId w:val="24"/>
        </w:numPr>
      </w:pPr>
      <w:bookmarkStart w:id="8" w:name="_Toc48135842"/>
      <w:r w:rsidRPr="00FA2BAF">
        <w:lastRenderedPageBreak/>
        <w:t xml:space="preserve">Accepting, </w:t>
      </w:r>
      <w:r w:rsidR="00B36339">
        <w:t>D</w:t>
      </w:r>
      <w:r w:rsidRPr="00FA2BAF">
        <w:t xml:space="preserve">eclining or </w:t>
      </w:r>
      <w:r w:rsidR="00B36339">
        <w:t>R</w:t>
      </w:r>
      <w:r w:rsidRPr="00FA2BAF">
        <w:t xml:space="preserve">epaying </w:t>
      </w:r>
      <w:r w:rsidR="00B36339">
        <w:t>F</w:t>
      </w:r>
      <w:r w:rsidRPr="00FA2BAF">
        <w:t>unds</w:t>
      </w:r>
      <w:bookmarkEnd w:id="8"/>
    </w:p>
    <w:p w14:paraId="6A7EF5E6" w14:textId="77777777" w:rsidR="007B014D" w:rsidRPr="007B014D" w:rsidRDefault="007B014D" w:rsidP="007B014D">
      <w:pPr>
        <w:pStyle w:val="ListParagraph"/>
        <w:numPr>
          <w:ilvl w:val="0"/>
          <w:numId w:val="33"/>
        </w:numPr>
        <w:rPr>
          <w:vanish/>
        </w:rPr>
      </w:pPr>
    </w:p>
    <w:p w14:paraId="29232D5A" w14:textId="77777777" w:rsidR="007B014D" w:rsidRPr="007B014D" w:rsidRDefault="007B014D" w:rsidP="007B014D">
      <w:pPr>
        <w:pStyle w:val="ListParagraph"/>
        <w:numPr>
          <w:ilvl w:val="0"/>
          <w:numId w:val="33"/>
        </w:numPr>
        <w:rPr>
          <w:vanish/>
        </w:rPr>
      </w:pPr>
    </w:p>
    <w:p w14:paraId="30237C6C" w14:textId="77777777" w:rsidR="007B014D" w:rsidRPr="007B014D" w:rsidRDefault="007B014D" w:rsidP="007B014D">
      <w:pPr>
        <w:pStyle w:val="ListParagraph"/>
        <w:numPr>
          <w:ilvl w:val="0"/>
          <w:numId w:val="33"/>
        </w:numPr>
        <w:rPr>
          <w:vanish/>
        </w:rPr>
      </w:pPr>
    </w:p>
    <w:p w14:paraId="4571760D" w14:textId="77777777" w:rsidR="007B014D" w:rsidRPr="007B014D" w:rsidRDefault="007B014D" w:rsidP="007B014D">
      <w:pPr>
        <w:pStyle w:val="ListParagraph"/>
        <w:numPr>
          <w:ilvl w:val="0"/>
          <w:numId w:val="33"/>
        </w:numPr>
        <w:rPr>
          <w:vanish/>
        </w:rPr>
      </w:pPr>
    </w:p>
    <w:p w14:paraId="74351C8B" w14:textId="77777777" w:rsidR="007B014D" w:rsidRPr="007B014D" w:rsidRDefault="007B014D" w:rsidP="007B014D">
      <w:pPr>
        <w:pStyle w:val="ListParagraph"/>
        <w:numPr>
          <w:ilvl w:val="0"/>
          <w:numId w:val="33"/>
        </w:numPr>
        <w:rPr>
          <w:vanish/>
        </w:rPr>
      </w:pPr>
    </w:p>
    <w:p w14:paraId="53AD4052" w14:textId="77777777" w:rsidR="007B014D" w:rsidRPr="007B014D" w:rsidRDefault="007B014D" w:rsidP="007B014D">
      <w:pPr>
        <w:pStyle w:val="ListParagraph"/>
        <w:numPr>
          <w:ilvl w:val="0"/>
          <w:numId w:val="33"/>
        </w:numPr>
        <w:rPr>
          <w:vanish/>
        </w:rPr>
      </w:pPr>
    </w:p>
    <w:p w14:paraId="2ECE3308" w14:textId="5C4FE430" w:rsidR="007B014D" w:rsidRDefault="007B014D" w:rsidP="007B014D">
      <w:pPr>
        <w:pStyle w:val="ListParagraph"/>
        <w:numPr>
          <w:ilvl w:val="1"/>
          <w:numId w:val="33"/>
        </w:numPr>
        <w:jc w:val="both"/>
      </w:pPr>
      <w:r>
        <w:t xml:space="preserve">All donors should be requested to put </w:t>
      </w:r>
      <w:r w:rsidR="007B24D7">
        <w:t xml:space="preserve">the details of their gift </w:t>
      </w:r>
      <w:r>
        <w:t>in writing</w:t>
      </w:r>
      <w:r w:rsidR="007B24D7">
        <w:t>;</w:t>
      </w:r>
      <w:r>
        <w:t xml:space="preserve"> the fact it has no conditions attached (where relevant), their estimation of the value of the gift if not in monetary form and when the Trust or school will receive the gift.</w:t>
      </w:r>
    </w:p>
    <w:p w14:paraId="77605B1E" w14:textId="37887B18" w:rsidR="007B014D" w:rsidRDefault="007B014D" w:rsidP="007B014D">
      <w:pPr>
        <w:pStyle w:val="ListParagraph"/>
        <w:ind w:left="792"/>
        <w:jc w:val="both"/>
      </w:pPr>
    </w:p>
    <w:p w14:paraId="4694797F" w14:textId="5B219E1C" w:rsidR="007B014D" w:rsidRDefault="007B014D" w:rsidP="007B014D">
      <w:pPr>
        <w:pStyle w:val="ListParagraph"/>
        <w:numPr>
          <w:ilvl w:val="1"/>
          <w:numId w:val="33"/>
        </w:numPr>
        <w:jc w:val="both"/>
      </w:pPr>
      <w:r>
        <w:t>The ultimate decision for accepting, declining or repaying funds raised lies with the LGB.</w:t>
      </w:r>
      <w:r>
        <w:br/>
      </w:r>
    </w:p>
    <w:p w14:paraId="798EBFFD" w14:textId="77777777" w:rsidR="007B014D" w:rsidRDefault="007B014D" w:rsidP="007B014D">
      <w:pPr>
        <w:pStyle w:val="ListParagraph"/>
        <w:numPr>
          <w:ilvl w:val="1"/>
          <w:numId w:val="33"/>
        </w:numPr>
        <w:jc w:val="both"/>
      </w:pPr>
      <w:r>
        <w:t>The LGB will act in the best interests of the school when deciding to accept or refuse a donation.</w:t>
      </w:r>
    </w:p>
    <w:p w14:paraId="4905D0AE" w14:textId="7468519B" w:rsidR="007B014D" w:rsidRDefault="007B014D" w:rsidP="007B014D">
      <w:pPr>
        <w:pStyle w:val="ListParagraph"/>
        <w:ind w:left="792"/>
        <w:jc w:val="both"/>
      </w:pPr>
    </w:p>
    <w:p w14:paraId="0A876F68" w14:textId="77777777" w:rsidR="007B014D" w:rsidRDefault="007B014D" w:rsidP="007B014D">
      <w:pPr>
        <w:pStyle w:val="ListParagraph"/>
        <w:numPr>
          <w:ilvl w:val="1"/>
          <w:numId w:val="33"/>
        </w:numPr>
        <w:jc w:val="both"/>
      </w:pPr>
      <w:r>
        <w:t>If funds are raised or donated for purposes that are not consistent with the aims of the Trust or the school, the school will decline to accept them.</w:t>
      </w:r>
    </w:p>
    <w:p w14:paraId="7F23915A" w14:textId="08C99F7C" w:rsidR="007B014D" w:rsidRDefault="007B014D" w:rsidP="007B014D">
      <w:pPr>
        <w:pStyle w:val="ListParagraph"/>
        <w:ind w:left="792"/>
        <w:jc w:val="both"/>
      </w:pPr>
      <w:r>
        <w:t xml:space="preserve"> </w:t>
      </w:r>
    </w:p>
    <w:p w14:paraId="5C372B61" w14:textId="48758BF9" w:rsidR="007B014D" w:rsidRDefault="007B014D" w:rsidP="007B014D">
      <w:pPr>
        <w:pStyle w:val="ListParagraph"/>
        <w:numPr>
          <w:ilvl w:val="1"/>
          <w:numId w:val="33"/>
        </w:numPr>
        <w:jc w:val="both"/>
      </w:pPr>
      <w:r>
        <w:t>The school will take the appropriate due diligence steps to confirm the identify of donors and any source of funds, which include:</w:t>
      </w:r>
    </w:p>
    <w:p w14:paraId="4ECD01E9" w14:textId="77777777" w:rsidR="007B014D" w:rsidRPr="007B014D" w:rsidRDefault="007B014D" w:rsidP="007B014D">
      <w:pPr>
        <w:pStyle w:val="ListParagraph"/>
        <w:rPr>
          <w:sz w:val="14"/>
          <w:szCs w:val="14"/>
        </w:rPr>
      </w:pPr>
    </w:p>
    <w:p w14:paraId="26416D87" w14:textId="77777777" w:rsidR="007B014D" w:rsidRDefault="007B014D" w:rsidP="007B014D">
      <w:pPr>
        <w:pStyle w:val="ListParagraph"/>
        <w:numPr>
          <w:ilvl w:val="0"/>
          <w:numId w:val="34"/>
        </w:numPr>
      </w:pPr>
      <w:r>
        <w:t>Requesting two forms of ID from the donor.</w:t>
      </w:r>
    </w:p>
    <w:p w14:paraId="37139BAD" w14:textId="586D8DFD" w:rsidR="007B014D" w:rsidRDefault="007B014D" w:rsidP="007B014D">
      <w:pPr>
        <w:pStyle w:val="ListParagraph"/>
        <w:numPr>
          <w:ilvl w:val="0"/>
          <w:numId w:val="34"/>
        </w:numPr>
      </w:pPr>
      <w:r>
        <w:t>A letter confirming the source of funds.</w:t>
      </w:r>
      <w:r>
        <w:br/>
      </w:r>
    </w:p>
    <w:p w14:paraId="1C9F439F" w14:textId="77777777" w:rsidR="007B014D" w:rsidRDefault="007B014D" w:rsidP="007B014D">
      <w:pPr>
        <w:pStyle w:val="ListParagraph"/>
        <w:numPr>
          <w:ilvl w:val="1"/>
          <w:numId w:val="33"/>
        </w:numPr>
        <w:jc w:val="both"/>
      </w:pPr>
      <w:r>
        <w:t>For a donor proposing to donate a sum that exceeds £5,000, the school will take the following steps in advance of the donation being accepted:</w:t>
      </w:r>
    </w:p>
    <w:p w14:paraId="06480834" w14:textId="24F1FE3C" w:rsidR="007B014D" w:rsidRPr="007B014D" w:rsidRDefault="007B014D" w:rsidP="007B014D">
      <w:pPr>
        <w:pStyle w:val="ListParagraph"/>
        <w:ind w:left="792"/>
        <w:jc w:val="both"/>
        <w:rPr>
          <w:sz w:val="14"/>
          <w:szCs w:val="14"/>
        </w:rPr>
      </w:pPr>
    </w:p>
    <w:p w14:paraId="146F69E4" w14:textId="77777777" w:rsidR="007B014D" w:rsidRDefault="007B014D" w:rsidP="007B014D">
      <w:pPr>
        <w:pStyle w:val="ListParagraph"/>
        <w:numPr>
          <w:ilvl w:val="0"/>
          <w:numId w:val="35"/>
        </w:numPr>
      </w:pPr>
      <w:r>
        <w:t>Establish whether there are any potential risks to the school’s reputation</w:t>
      </w:r>
    </w:p>
    <w:p w14:paraId="113E0FBF" w14:textId="2B8E39DA" w:rsidR="007B014D" w:rsidRDefault="007B014D" w:rsidP="007B014D">
      <w:pPr>
        <w:pStyle w:val="ListParagraph"/>
        <w:numPr>
          <w:ilvl w:val="0"/>
          <w:numId w:val="35"/>
        </w:numPr>
      </w:pPr>
      <w:r>
        <w:t>Determine what pay</w:t>
      </w:r>
      <w:r w:rsidR="007B24D7">
        <w:t>ment</w:t>
      </w:r>
      <w:r>
        <w:t xml:space="preserve"> arrangements are proposed and whether they raise concerns about the source of funds</w:t>
      </w:r>
    </w:p>
    <w:p w14:paraId="14EEC38B" w14:textId="7DECFE52" w:rsidR="007B014D" w:rsidRDefault="007B014D" w:rsidP="007B014D">
      <w:pPr>
        <w:pStyle w:val="ListParagraph"/>
        <w:numPr>
          <w:ilvl w:val="0"/>
          <w:numId w:val="35"/>
        </w:numPr>
      </w:pPr>
      <w:r>
        <w:t>Record the terms of the donation in a formal agreement</w:t>
      </w:r>
      <w:r>
        <w:br/>
      </w:r>
    </w:p>
    <w:p w14:paraId="26D064F8" w14:textId="6413CB64" w:rsidR="007B014D" w:rsidRDefault="007B014D" w:rsidP="007B014D">
      <w:pPr>
        <w:pStyle w:val="ListParagraph"/>
        <w:numPr>
          <w:ilvl w:val="1"/>
          <w:numId w:val="33"/>
        </w:numPr>
        <w:jc w:val="both"/>
      </w:pPr>
      <w:r>
        <w:t xml:space="preserve">Consideration will always be given </w:t>
      </w:r>
      <w:r w:rsidR="007B24D7">
        <w:t xml:space="preserve">as </w:t>
      </w:r>
      <w:r>
        <w:t>to whether any donation is involved with or linked to a suspicious transaction.</w:t>
      </w:r>
    </w:p>
    <w:p w14:paraId="1F0B7D37" w14:textId="77777777" w:rsidR="007B014D" w:rsidRDefault="007B014D" w:rsidP="007B014D">
      <w:pPr>
        <w:pStyle w:val="ListParagraph"/>
        <w:ind w:left="792"/>
      </w:pPr>
    </w:p>
    <w:p w14:paraId="308DF579" w14:textId="671472D8" w:rsidR="007B014D" w:rsidRDefault="007B014D" w:rsidP="007B014D">
      <w:pPr>
        <w:pStyle w:val="ListParagraph"/>
        <w:numPr>
          <w:ilvl w:val="1"/>
          <w:numId w:val="33"/>
        </w:numPr>
      </w:pPr>
      <w:r>
        <w:t>Donations will be accepted electronically or via cheque.</w:t>
      </w:r>
      <w:r>
        <w:br/>
      </w:r>
    </w:p>
    <w:p w14:paraId="54550AA1" w14:textId="1686B292" w:rsidR="007B014D" w:rsidRDefault="007B014D" w:rsidP="007B014D">
      <w:pPr>
        <w:pStyle w:val="ListParagraph"/>
        <w:numPr>
          <w:ilvl w:val="1"/>
          <w:numId w:val="33"/>
        </w:numPr>
      </w:pPr>
      <w:r>
        <w:t>The LGB may decline a donation if it believes it:</w:t>
      </w:r>
    </w:p>
    <w:p w14:paraId="487D464F" w14:textId="77777777" w:rsidR="007B014D" w:rsidRPr="007B014D" w:rsidRDefault="007B014D" w:rsidP="00CD26C4">
      <w:pPr>
        <w:pStyle w:val="ListParagraph"/>
        <w:ind w:left="792"/>
        <w:jc w:val="both"/>
        <w:rPr>
          <w:sz w:val="14"/>
          <w:szCs w:val="14"/>
        </w:rPr>
      </w:pPr>
    </w:p>
    <w:p w14:paraId="707ED109" w14:textId="77777777" w:rsidR="00CD26C4" w:rsidRDefault="00CD26C4" w:rsidP="00CD26C4">
      <w:pPr>
        <w:pStyle w:val="ListParagraph"/>
        <w:numPr>
          <w:ilvl w:val="0"/>
          <w:numId w:val="38"/>
        </w:numPr>
        <w:jc w:val="both"/>
      </w:pPr>
      <w:r>
        <w:t>Creates unacceptable conflicts of interest.</w:t>
      </w:r>
    </w:p>
    <w:p w14:paraId="4C262F65" w14:textId="77777777" w:rsidR="00CD26C4" w:rsidRDefault="00CD26C4" w:rsidP="00CD26C4">
      <w:pPr>
        <w:pStyle w:val="ListParagraph"/>
        <w:numPr>
          <w:ilvl w:val="0"/>
          <w:numId w:val="38"/>
        </w:numPr>
        <w:jc w:val="both"/>
      </w:pPr>
      <w:r>
        <w:t>Exposes the Trust or the school to undue adverse publicity or reputational risk.</w:t>
      </w:r>
    </w:p>
    <w:p w14:paraId="6FF50989" w14:textId="77777777" w:rsidR="00CD26C4" w:rsidRDefault="00CD26C4" w:rsidP="00CD26C4">
      <w:pPr>
        <w:pStyle w:val="ListParagraph"/>
        <w:numPr>
          <w:ilvl w:val="0"/>
          <w:numId w:val="38"/>
        </w:numPr>
        <w:jc w:val="both"/>
      </w:pPr>
      <w:r>
        <w:t>Causes other damage, including financial damage e.g. by deterring other donors</w:t>
      </w:r>
    </w:p>
    <w:p w14:paraId="267BB06D" w14:textId="77777777" w:rsidR="00CD26C4" w:rsidRDefault="00CD26C4" w:rsidP="00CD26C4">
      <w:pPr>
        <w:pStyle w:val="ListParagraph"/>
        <w:numPr>
          <w:ilvl w:val="0"/>
          <w:numId w:val="38"/>
        </w:numPr>
        <w:jc w:val="both"/>
      </w:pPr>
      <w:r>
        <w:t>Involves concerns about the legality of the source of funds or the ability to identify the donor.</w:t>
      </w:r>
    </w:p>
    <w:p w14:paraId="722C0F8D" w14:textId="77777777" w:rsidR="00CD26C4" w:rsidRDefault="00CD26C4" w:rsidP="00CD26C4">
      <w:pPr>
        <w:pStyle w:val="ListParagraph"/>
        <w:numPr>
          <w:ilvl w:val="0"/>
          <w:numId w:val="38"/>
        </w:numPr>
        <w:jc w:val="both"/>
      </w:pPr>
      <w:r>
        <w:t>Involves a suspicious transaction, e.g. a fee is requested to release the donation.</w:t>
      </w:r>
    </w:p>
    <w:p w14:paraId="1F5D78C7" w14:textId="77777777" w:rsidR="00CD26C4" w:rsidRDefault="00CD26C4" w:rsidP="00CD26C4">
      <w:pPr>
        <w:pStyle w:val="ListParagraph"/>
        <w:numPr>
          <w:ilvl w:val="0"/>
          <w:numId w:val="38"/>
        </w:numPr>
        <w:jc w:val="both"/>
      </w:pPr>
      <w:r>
        <w:t>Will not contribute to the aims of the school or the Trust.</w:t>
      </w:r>
    </w:p>
    <w:p w14:paraId="5FEF3B24" w14:textId="77777777" w:rsidR="00CD26C4" w:rsidRDefault="00CD26C4" w:rsidP="00CD26C4">
      <w:pPr>
        <w:pStyle w:val="ListParagraph"/>
        <w:numPr>
          <w:ilvl w:val="0"/>
          <w:numId w:val="38"/>
        </w:numPr>
        <w:jc w:val="both"/>
      </w:pPr>
      <w:r>
        <w:t>Consists of goods, property or services which the school cannot lawfully use.</w:t>
      </w:r>
    </w:p>
    <w:p w14:paraId="77BCAD8A" w14:textId="77777777" w:rsidR="00CD26C4" w:rsidRDefault="00CD26C4" w:rsidP="00CD26C4">
      <w:pPr>
        <w:pStyle w:val="ListParagraph"/>
        <w:numPr>
          <w:ilvl w:val="0"/>
          <w:numId w:val="38"/>
        </w:numPr>
        <w:jc w:val="both"/>
      </w:pPr>
      <w:r>
        <w:t>May require action that is potentially illegal.</w:t>
      </w:r>
    </w:p>
    <w:p w14:paraId="1C5A82B1" w14:textId="77777777" w:rsidR="00CD26C4" w:rsidRDefault="00CD26C4" w:rsidP="00CD26C4">
      <w:pPr>
        <w:pStyle w:val="ListParagraph"/>
        <w:numPr>
          <w:ilvl w:val="0"/>
          <w:numId w:val="38"/>
        </w:numPr>
        <w:jc w:val="both"/>
      </w:pPr>
      <w:r>
        <w:t>Is dependent on the fulfilment of unacceptable conditions applied by the donor, e.g. conditions which would place the assets of the school in inappropriate risk.</w:t>
      </w:r>
    </w:p>
    <w:p w14:paraId="57548802" w14:textId="77777777" w:rsidR="00CD26C4" w:rsidRDefault="00CD26C4" w:rsidP="00CD26C4">
      <w:pPr>
        <w:pStyle w:val="ListParagraph"/>
        <w:numPr>
          <w:ilvl w:val="0"/>
          <w:numId w:val="38"/>
        </w:numPr>
        <w:jc w:val="both"/>
      </w:pPr>
      <w:r>
        <w:t>Harms the school’s relationship with other stakeholders.</w:t>
      </w:r>
    </w:p>
    <w:p w14:paraId="0BA85064" w14:textId="535A0D99" w:rsidR="007B014D" w:rsidRDefault="00CD26C4" w:rsidP="00CD26C4">
      <w:pPr>
        <w:pStyle w:val="ListParagraph"/>
        <w:numPr>
          <w:ilvl w:val="0"/>
          <w:numId w:val="38"/>
        </w:numPr>
        <w:jc w:val="both"/>
      </w:pPr>
      <w:r>
        <w:t>Involves a request which would breach the Reach2 Procurement Policy</w:t>
      </w:r>
    </w:p>
    <w:p w14:paraId="40C88D3C" w14:textId="77777777" w:rsidR="00CD26C4" w:rsidRDefault="00CD26C4" w:rsidP="00CD26C4">
      <w:pPr>
        <w:pStyle w:val="ListParagraph"/>
        <w:ind w:left="792"/>
      </w:pPr>
    </w:p>
    <w:p w14:paraId="5692F2D7" w14:textId="77777777" w:rsidR="007B014D" w:rsidRPr="007B014D" w:rsidRDefault="007B014D" w:rsidP="007B014D">
      <w:pPr>
        <w:pStyle w:val="ListParagraph"/>
        <w:numPr>
          <w:ilvl w:val="1"/>
          <w:numId w:val="24"/>
        </w:numPr>
        <w:jc w:val="both"/>
        <w:rPr>
          <w:vanish/>
        </w:rPr>
      </w:pPr>
    </w:p>
    <w:p w14:paraId="2DDB7333" w14:textId="77777777" w:rsidR="007B014D" w:rsidRPr="007B014D" w:rsidRDefault="007B014D" w:rsidP="007B014D">
      <w:pPr>
        <w:pStyle w:val="ListParagraph"/>
        <w:numPr>
          <w:ilvl w:val="1"/>
          <w:numId w:val="24"/>
        </w:numPr>
        <w:jc w:val="both"/>
        <w:rPr>
          <w:vanish/>
        </w:rPr>
      </w:pPr>
    </w:p>
    <w:p w14:paraId="4F2FD06A" w14:textId="77777777" w:rsidR="007B014D" w:rsidRPr="007B014D" w:rsidRDefault="007B014D" w:rsidP="007B014D">
      <w:pPr>
        <w:pStyle w:val="ListParagraph"/>
        <w:numPr>
          <w:ilvl w:val="1"/>
          <w:numId w:val="24"/>
        </w:numPr>
        <w:jc w:val="both"/>
        <w:rPr>
          <w:vanish/>
        </w:rPr>
      </w:pPr>
    </w:p>
    <w:p w14:paraId="6195639D" w14:textId="77777777" w:rsidR="007B014D" w:rsidRPr="007B014D" w:rsidRDefault="007B014D" w:rsidP="007B014D">
      <w:pPr>
        <w:pStyle w:val="ListParagraph"/>
        <w:numPr>
          <w:ilvl w:val="1"/>
          <w:numId w:val="24"/>
        </w:numPr>
        <w:jc w:val="both"/>
        <w:rPr>
          <w:vanish/>
        </w:rPr>
      </w:pPr>
    </w:p>
    <w:p w14:paraId="26DE11D2" w14:textId="77777777" w:rsidR="007B014D" w:rsidRPr="007B014D" w:rsidRDefault="007B014D" w:rsidP="007B014D">
      <w:pPr>
        <w:pStyle w:val="ListParagraph"/>
        <w:numPr>
          <w:ilvl w:val="1"/>
          <w:numId w:val="24"/>
        </w:numPr>
        <w:jc w:val="both"/>
        <w:rPr>
          <w:vanish/>
        </w:rPr>
      </w:pPr>
    </w:p>
    <w:p w14:paraId="2FF01853" w14:textId="77777777" w:rsidR="007B014D" w:rsidRPr="007B014D" w:rsidRDefault="007B014D" w:rsidP="007B014D">
      <w:pPr>
        <w:pStyle w:val="ListParagraph"/>
        <w:numPr>
          <w:ilvl w:val="1"/>
          <w:numId w:val="24"/>
        </w:numPr>
        <w:jc w:val="both"/>
        <w:rPr>
          <w:vanish/>
        </w:rPr>
      </w:pPr>
    </w:p>
    <w:p w14:paraId="7D123161" w14:textId="77777777" w:rsidR="007B014D" w:rsidRPr="007B014D" w:rsidRDefault="007B014D" w:rsidP="007B014D">
      <w:pPr>
        <w:pStyle w:val="ListParagraph"/>
        <w:numPr>
          <w:ilvl w:val="1"/>
          <w:numId w:val="24"/>
        </w:numPr>
        <w:jc w:val="both"/>
        <w:rPr>
          <w:vanish/>
        </w:rPr>
      </w:pPr>
    </w:p>
    <w:p w14:paraId="3A3D868F" w14:textId="77777777" w:rsidR="007B014D" w:rsidRPr="007B014D" w:rsidRDefault="007B014D" w:rsidP="007B014D">
      <w:pPr>
        <w:pStyle w:val="ListParagraph"/>
        <w:numPr>
          <w:ilvl w:val="1"/>
          <w:numId w:val="24"/>
        </w:numPr>
        <w:jc w:val="both"/>
        <w:rPr>
          <w:vanish/>
        </w:rPr>
      </w:pPr>
    </w:p>
    <w:p w14:paraId="2B2ED189" w14:textId="77777777" w:rsidR="007B014D" w:rsidRPr="007B014D" w:rsidRDefault="007B014D" w:rsidP="007B014D">
      <w:pPr>
        <w:pStyle w:val="ListParagraph"/>
        <w:numPr>
          <w:ilvl w:val="1"/>
          <w:numId w:val="24"/>
        </w:numPr>
        <w:jc w:val="both"/>
        <w:rPr>
          <w:vanish/>
        </w:rPr>
      </w:pPr>
    </w:p>
    <w:p w14:paraId="52F083FF" w14:textId="77777777" w:rsidR="00CD26C4" w:rsidRDefault="00CD26C4" w:rsidP="00CD26C4">
      <w:pPr>
        <w:pStyle w:val="ListParagraph"/>
        <w:numPr>
          <w:ilvl w:val="1"/>
          <w:numId w:val="33"/>
        </w:numPr>
        <w:ind w:left="788" w:hanging="504"/>
        <w:jc w:val="both"/>
      </w:pPr>
      <w:r w:rsidRPr="00CD26C4">
        <w:t>Donations will not be accepted if the LGB suspects a prospective donor lacks capacity to make an informed decision about a donation. The school will return any donations by donors who the school believes lacked the capacity to make an informed decision at the time of donating</w:t>
      </w:r>
      <w:r>
        <w:t>.</w:t>
      </w:r>
    </w:p>
    <w:p w14:paraId="2FDF7C32" w14:textId="2BAC51A6" w:rsidR="00CD26C4" w:rsidRDefault="00CD26C4" w:rsidP="00CD26C4">
      <w:pPr>
        <w:pStyle w:val="ListParagraph"/>
        <w:numPr>
          <w:ilvl w:val="1"/>
          <w:numId w:val="33"/>
        </w:numPr>
        <w:ind w:left="788" w:hanging="504"/>
        <w:jc w:val="both"/>
      </w:pPr>
      <w:r w:rsidRPr="00CD26C4">
        <w:lastRenderedPageBreak/>
        <w:t>If circumstances change and the donor requests the repayment of part or all of a donation, the ultimate decision lies with the LGB.</w:t>
      </w:r>
    </w:p>
    <w:p w14:paraId="0CC50BB9" w14:textId="77777777" w:rsidR="00CD26C4" w:rsidRDefault="00CD26C4" w:rsidP="00CD26C4">
      <w:pPr>
        <w:pStyle w:val="ListParagraph"/>
        <w:ind w:left="788"/>
        <w:jc w:val="both"/>
      </w:pPr>
    </w:p>
    <w:p w14:paraId="6ABD3BBD" w14:textId="16DC82A2" w:rsidR="00CD26C4" w:rsidRDefault="00CD26C4" w:rsidP="00CD26C4">
      <w:pPr>
        <w:pStyle w:val="ListParagraph"/>
        <w:numPr>
          <w:ilvl w:val="1"/>
          <w:numId w:val="33"/>
        </w:numPr>
        <w:ind w:left="788" w:hanging="504"/>
        <w:jc w:val="both"/>
      </w:pPr>
      <w:r>
        <w:t>Donations</w:t>
      </w:r>
      <w:r w:rsidR="00CA15F5">
        <w:t>, once accepted,</w:t>
      </w:r>
      <w:r>
        <w:t xml:space="preserve"> should not normally be returned unless there is a legal obligation to return it, e.g. the conditions attached to the donation require the return of the donation in certain circumstances. </w:t>
      </w:r>
    </w:p>
    <w:p w14:paraId="78A9A683" w14:textId="77777777" w:rsidR="00CD26C4" w:rsidRDefault="00CD26C4" w:rsidP="00CD26C4">
      <w:pPr>
        <w:pStyle w:val="ListParagraph"/>
      </w:pPr>
    </w:p>
    <w:p w14:paraId="30ACD2A4" w14:textId="4F682E18" w:rsidR="00CD26C4" w:rsidRDefault="00CD26C4" w:rsidP="00CD26C4">
      <w:pPr>
        <w:pStyle w:val="ListParagraph"/>
        <w:numPr>
          <w:ilvl w:val="1"/>
          <w:numId w:val="33"/>
        </w:numPr>
        <w:ind w:left="788" w:hanging="504"/>
        <w:jc w:val="both"/>
      </w:pPr>
      <w:r>
        <w:t>Donations will only be refunded in line with school policies or in exceptional circumstances. Where it is not lawful to return a donation, the school will take advice from legal advisers before doing so.</w:t>
      </w:r>
    </w:p>
    <w:p w14:paraId="52134B6B" w14:textId="77777777" w:rsidR="00CD26C4" w:rsidRPr="00FA2BAF" w:rsidRDefault="00CD26C4" w:rsidP="00CD26C4">
      <w:pPr>
        <w:pStyle w:val="ListParagraph"/>
        <w:ind w:left="788"/>
        <w:jc w:val="both"/>
      </w:pPr>
    </w:p>
    <w:p w14:paraId="0DB0DB88" w14:textId="2C811913" w:rsidR="00FA2BAF" w:rsidRPr="00FA2BAF" w:rsidRDefault="00FA2BAF" w:rsidP="00CD26C4">
      <w:pPr>
        <w:pStyle w:val="Subtitle"/>
        <w:numPr>
          <w:ilvl w:val="0"/>
          <w:numId w:val="33"/>
        </w:numPr>
      </w:pPr>
      <w:bookmarkStart w:id="9" w:name="_Toc48135843"/>
      <w:r w:rsidRPr="00FA2BAF">
        <w:t>Funds raised</w:t>
      </w:r>
      <w:bookmarkEnd w:id="9"/>
    </w:p>
    <w:p w14:paraId="418037BA" w14:textId="3B3F90D2" w:rsidR="00CD26C4" w:rsidRDefault="00CD26C4" w:rsidP="00CD26C4">
      <w:pPr>
        <w:pStyle w:val="ListParagraph"/>
        <w:numPr>
          <w:ilvl w:val="1"/>
          <w:numId w:val="33"/>
        </w:numPr>
      </w:pPr>
      <w:r>
        <w:t>All funds raised are given to the SBM to be recorded, counted and banked.</w:t>
      </w:r>
    </w:p>
    <w:p w14:paraId="10A39432" w14:textId="77777777" w:rsidR="00CD26C4" w:rsidRDefault="00CD26C4" w:rsidP="00CD26C4">
      <w:pPr>
        <w:pStyle w:val="ListParagraph"/>
        <w:ind w:left="792"/>
      </w:pPr>
    </w:p>
    <w:p w14:paraId="34D1CD3E" w14:textId="77777777" w:rsidR="00CD26C4" w:rsidRDefault="00CD26C4" w:rsidP="00CD26C4">
      <w:pPr>
        <w:pStyle w:val="ListParagraph"/>
        <w:numPr>
          <w:ilvl w:val="1"/>
          <w:numId w:val="33"/>
        </w:numPr>
      </w:pPr>
      <w:r>
        <w:t>All funds raised will be counted by two different people, one of which will be the SBM, to ensure accuracy.</w:t>
      </w:r>
    </w:p>
    <w:p w14:paraId="6FBB8DB3" w14:textId="77777777" w:rsidR="00CD26C4" w:rsidRDefault="00CD26C4" w:rsidP="00CD26C4">
      <w:pPr>
        <w:pStyle w:val="ListParagraph"/>
      </w:pPr>
    </w:p>
    <w:p w14:paraId="54FE4C6F" w14:textId="77777777" w:rsidR="00CD26C4" w:rsidRDefault="00CD26C4" w:rsidP="00CD26C4">
      <w:pPr>
        <w:pStyle w:val="ListParagraph"/>
        <w:numPr>
          <w:ilvl w:val="1"/>
          <w:numId w:val="33"/>
        </w:numPr>
      </w:pPr>
      <w:r>
        <w:t>Funds raised must be kept in the school safe until they are banked, and should be banked at the earliest opportunity.</w:t>
      </w:r>
    </w:p>
    <w:p w14:paraId="3AC71A7D" w14:textId="77777777" w:rsidR="00CD26C4" w:rsidRDefault="00CD26C4" w:rsidP="00CD26C4">
      <w:pPr>
        <w:pStyle w:val="ListParagraph"/>
      </w:pPr>
    </w:p>
    <w:p w14:paraId="2156F176" w14:textId="77777777" w:rsidR="00CD26C4" w:rsidRDefault="00CD26C4" w:rsidP="00CD26C4">
      <w:pPr>
        <w:pStyle w:val="ListParagraph"/>
        <w:numPr>
          <w:ilvl w:val="1"/>
          <w:numId w:val="33"/>
        </w:numPr>
      </w:pPr>
      <w:r>
        <w:t>Fundraisers will not exploit their position for personal gain and must adhere to the school’s Anti-Fraud, Bribery and Corruption Policy when taking part in fundraising activities.</w:t>
      </w:r>
    </w:p>
    <w:p w14:paraId="1F79ED52" w14:textId="77777777" w:rsidR="00CD26C4" w:rsidRDefault="00CD26C4" w:rsidP="00CD26C4">
      <w:pPr>
        <w:pStyle w:val="ListParagraph"/>
      </w:pPr>
    </w:p>
    <w:p w14:paraId="1FEDF5E2" w14:textId="77777777" w:rsidR="00CD26C4" w:rsidRDefault="00CD26C4" w:rsidP="00CD26C4">
      <w:pPr>
        <w:pStyle w:val="ListParagraph"/>
        <w:numPr>
          <w:ilvl w:val="1"/>
          <w:numId w:val="33"/>
        </w:numPr>
      </w:pPr>
      <w:r>
        <w:t>All funds will be used for the purpose for which they were raised and within the timeframe that is agreed.</w:t>
      </w:r>
    </w:p>
    <w:p w14:paraId="06FE9D5F" w14:textId="77777777" w:rsidR="00CD26C4" w:rsidRDefault="00CD26C4" w:rsidP="00CD26C4">
      <w:pPr>
        <w:pStyle w:val="ListParagraph"/>
      </w:pPr>
    </w:p>
    <w:p w14:paraId="71AD7DBE" w14:textId="23E193C0" w:rsidR="00CD26C4" w:rsidRDefault="00CD26C4" w:rsidP="00CD26C4">
      <w:pPr>
        <w:pStyle w:val="ListParagraph"/>
        <w:numPr>
          <w:ilvl w:val="1"/>
          <w:numId w:val="33"/>
        </w:numPr>
      </w:pPr>
      <w:r>
        <w:t>If a fundraising event is cancelled, donors will be informed and asked to agree to a change of use of funds or timescale, or to a repayment of funds.</w:t>
      </w:r>
    </w:p>
    <w:p w14:paraId="3F601E06" w14:textId="77777777" w:rsidR="00CD26C4" w:rsidRDefault="00CD26C4" w:rsidP="00CD26C4">
      <w:pPr>
        <w:pStyle w:val="ListParagraph"/>
      </w:pPr>
    </w:p>
    <w:p w14:paraId="621DC51E" w14:textId="72871098" w:rsidR="00FA2BAF" w:rsidRPr="00FA2BAF" w:rsidRDefault="00FA2BAF" w:rsidP="00CD26C4">
      <w:pPr>
        <w:pStyle w:val="Subtitle"/>
        <w:numPr>
          <w:ilvl w:val="0"/>
          <w:numId w:val="33"/>
        </w:numPr>
      </w:pPr>
      <w:bookmarkStart w:id="10" w:name="_Toc48135844"/>
      <w:r w:rsidRPr="00FA2BAF">
        <w:t>Financial accountability</w:t>
      </w:r>
      <w:bookmarkEnd w:id="10"/>
    </w:p>
    <w:p w14:paraId="5094320F" w14:textId="60514469" w:rsidR="00CD26C4" w:rsidRDefault="00CD26C4" w:rsidP="00CD26C4">
      <w:pPr>
        <w:pStyle w:val="ListParagraph"/>
        <w:numPr>
          <w:ilvl w:val="1"/>
          <w:numId w:val="33"/>
        </w:numPr>
      </w:pPr>
      <w:r w:rsidRPr="00CD26C4">
        <w:t>All donations will be used to support the objectives of the Trust or the school.</w:t>
      </w:r>
    </w:p>
    <w:p w14:paraId="28BA5D9E" w14:textId="77777777" w:rsidR="00CD26C4" w:rsidRDefault="00CD26C4" w:rsidP="00CD26C4">
      <w:pPr>
        <w:pStyle w:val="ListParagraph"/>
        <w:ind w:left="792"/>
      </w:pPr>
    </w:p>
    <w:p w14:paraId="6750A591" w14:textId="77777777" w:rsidR="00CD26C4" w:rsidRDefault="00CD26C4" w:rsidP="00CD26C4">
      <w:pPr>
        <w:pStyle w:val="ListParagraph"/>
        <w:numPr>
          <w:ilvl w:val="1"/>
          <w:numId w:val="33"/>
        </w:numPr>
        <w:jc w:val="both"/>
      </w:pPr>
      <w:r w:rsidRPr="00CD26C4">
        <w:t>The school will seek to respect any non-binding wishes expressed by the donor as to the use of the donation, providing they are consistent with the Trust and school’s objectives.</w:t>
      </w:r>
    </w:p>
    <w:p w14:paraId="1BEC9BB3" w14:textId="77777777" w:rsidR="00CD26C4" w:rsidRDefault="00CD26C4" w:rsidP="00CD26C4">
      <w:pPr>
        <w:pStyle w:val="ListParagraph"/>
        <w:jc w:val="both"/>
      </w:pPr>
    </w:p>
    <w:p w14:paraId="1B59AC42" w14:textId="77777777" w:rsidR="00CD26C4" w:rsidRDefault="00CD26C4" w:rsidP="00CD26C4">
      <w:pPr>
        <w:pStyle w:val="ListParagraph"/>
        <w:numPr>
          <w:ilvl w:val="1"/>
          <w:numId w:val="33"/>
        </w:numPr>
        <w:jc w:val="both"/>
      </w:pPr>
      <w:r w:rsidRPr="00CD26C4">
        <w:t>Donations will be accounted for so that their receipt and subsequent expenditure or transfer to other funds can be readily identified and reported.</w:t>
      </w:r>
    </w:p>
    <w:p w14:paraId="5A32292E" w14:textId="77777777" w:rsidR="00CD26C4" w:rsidRDefault="00CD26C4" w:rsidP="00CD26C4">
      <w:pPr>
        <w:pStyle w:val="ListParagraph"/>
      </w:pPr>
    </w:p>
    <w:p w14:paraId="7B442126" w14:textId="77777777" w:rsidR="00CD26C4" w:rsidRDefault="00CD26C4" w:rsidP="00CD26C4">
      <w:pPr>
        <w:pStyle w:val="ListParagraph"/>
        <w:numPr>
          <w:ilvl w:val="1"/>
          <w:numId w:val="33"/>
        </w:numPr>
      </w:pPr>
      <w:r w:rsidRPr="00CD26C4">
        <w:t>Monetary gifts will be recorded at value in the school’s accounting system</w:t>
      </w:r>
    </w:p>
    <w:p w14:paraId="7FB89EE5" w14:textId="77777777" w:rsidR="00CD26C4" w:rsidRDefault="00CD26C4" w:rsidP="00CD26C4">
      <w:pPr>
        <w:pStyle w:val="ListParagraph"/>
      </w:pPr>
    </w:p>
    <w:p w14:paraId="34EF585E" w14:textId="2EFC1101" w:rsidR="00CD26C4" w:rsidRDefault="00CD26C4" w:rsidP="00CD26C4">
      <w:pPr>
        <w:pStyle w:val="ListParagraph"/>
        <w:numPr>
          <w:ilvl w:val="1"/>
          <w:numId w:val="33"/>
        </w:numPr>
        <w:jc w:val="both"/>
      </w:pPr>
      <w:r w:rsidRPr="00CD26C4">
        <w:t xml:space="preserve">Physical gifts in kind will be included in the school’s accounting system in the accounting period in which they are receivable.  The value placed on physical gifts in kind will be either a reasonable estimate of their gross value to the </w:t>
      </w:r>
      <w:r w:rsidR="00CA15F5">
        <w:t>school</w:t>
      </w:r>
      <w:r w:rsidRPr="00CD26C4">
        <w:t xml:space="preserve"> or (less likely) the amount </w:t>
      </w:r>
      <w:proofErr w:type="gramStart"/>
      <w:r w:rsidRPr="00CD26C4">
        <w:t>actually realised</w:t>
      </w:r>
      <w:proofErr w:type="gramEnd"/>
      <w:r w:rsidRPr="00CD26C4">
        <w:t xml:space="preserve"> as in the case of second-hand goods donated for resale.  The key valuation test for a gift in kind is “what would the </w:t>
      </w:r>
      <w:r w:rsidR="00CA15F5">
        <w:t>school</w:t>
      </w:r>
      <w:r w:rsidRPr="00CD26C4">
        <w:t xml:space="preserve"> be prepared to pay to purchase the asset?”  For example, if the </w:t>
      </w:r>
      <w:r w:rsidR="00CA15F5">
        <w:t>school</w:t>
      </w:r>
      <w:r w:rsidRPr="00CD26C4">
        <w:t xml:space="preserve"> wants a mid-range PC and is given a high-spec PC, then the valuation of that gift should be based on that of a mid-range PC.</w:t>
      </w:r>
    </w:p>
    <w:p w14:paraId="7A4A3461" w14:textId="77777777" w:rsidR="00CD26C4" w:rsidRDefault="00CD26C4" w:rsidP="00CD26C4">
      <w:pPr>
        <w:pStyle w:val="ListParagraph"/>
      </w:pPr>
    </w:p>
    <w:p w14:paraId="73395A4D" w14:textId="77777777" w:rsidR="00CD26C4" w:rsidRPr="00CD26C4" w:rsidRDefault="00CD26C4" w:rsidP="00CD26C4">
      <w:pPr>
        <w:pStyle w:val="ListParagraph"/>
        <w:ind w:left="792"/>
        <w:jc w:val="both"/>
      </w:pPr>
    </w:p>
    <w:p w14:paraId="5B35C327" w14:textId="757ECC30" w:rsidR="00CD26C4" w:rsidRDefault="00CD26C4" w:rsidP="00CD26C4">
      <w:pPr>
        <w:pStyle w:val="ListParagraph"/>
        <w:numPr>
          <w:ilvl w:val="1"/>
          <w:numId w:val="33"/>
        </w:numPr>
        <w:jc w:val="both"/>
      </w:pPr>
      <w:r w:rsidRPr="00CD26C4">
        <w:lastRenderedPageBreak/>
        <w:t>The school may also receive the gift of ‘time’ or ‘expertise’ in the form of a service, and in certain circumstances, this may also need to be recorded as a donation – usually when somebody carries out an activity specific to a trade or  profession for free. In such an instance, the valuation of the gift must be reasonable in relation to the cost a school would be prepared to have the task carried out commercially. Excluded from this would be volunteers helping out with reading, or mowing the grass on school premises; also excluded would be those who assist the school as part of their normal job, like a police or fire officer giving talks to pupils.</w:t>
      </w:r>
    </w:p>
    <w:p w14:paraId="1C6C489F" w14:textId="77777777" w:rsidR="00CD26C4" w:rsidRDefault="00CD26C4" w:rsidP="00CD26C4">
      <w:pPr>
        <w:pStyle w:val="ListParagraph"/>
        <w:ind w:left="792"/>
      </w:pPr>
    </w:p>
    <w:p w14:paraId="5D4B9E3F" w14:textId="012AC6EB" w:rsidR="00CD26C4" w:rsidRDefault="00CD26C4" w:rsidP="00CD26C4">
      <w:pPr>
        <w:pStyle w:val="ListParagraph"/>
        <w:numPr>
          <w:ilvl w:val="1"/>
          <w:numId w:val="33"/>
        </w:numPr>
      </w:pPr>
      <w:r>
        <w:t xml:space="preserve">All </w:t>
      </w:r>
      <w:r w:rsidRPr="00CD26C4">
        <w:t>records relating to the valuation of a gift must be retained and reported to the LGB, and may be requested by the Trust’s auditors.</w:t>
      </w:r>
    </w:p>
    <w:p w14:paraId="5225E238" w14:textId="77777777" w:rsidR="00CD26C4" w:rsidRDefault="00CD26C4" w:rsidP="00CD26C4">
      <w:pPr>
        <w:pStyle w:val="ListParagraph"/>
      </w:pPr>
    </w:p>
    <w:p w14:paraId="3DBE6E07" w14:textId="77777777" w:rsidR="00CD26C4" w:rsidRDefault="00CD26C4" w:rsidP="00CD26C4">
      <w:pPr>
        <w:pStyle w:val="ListParagraph"/>
        <w:numPr>
          <w:ilvl w:val="1"/>
          <w:numId w:val="33"/>
        </w:numPr>
        <w:jc w:val="both"/>
      </w:pPr>
      <w:r>
        <w:t>A</w:t>
      </w:r>
      <w:r w:rsidRPr="00CD26C4">
        <w:t>s a rule, discounts are not acceptable as "gifts" and should not be recorded as income. This is because under accounting standards, discounts are not accounted for as income but as a reduction in expenditure. As the Trust and school is required to obtain value for money, the offer of discounts should be taken into account in making purchasing decisions.</w:t>
      </w:r>
    </w:p>
    <w:p w14:paraId="4D8FEA78" w14:textId="77777777" w:rsidR="00CD26C4" w:rsidRDefault="00CD26C4" w:rsidP="00CD26C4">
      <w:pPr>
        <w:pStyle w:val="ListParagraph"/>
      </w:pPr>
    </w:p>
    <w:p w14:paraId="53EAF1B9" w14:textId="77777777" w:rsidR="002F7DF8" w:rsidRDefault="00CD26C4" w:rsidP="002F7DF8">
      <w:pPr>
        <w:pStyle w:val="ListParagraph"/>
        <w:numPr>
          <w:ilvl w:val="1"/>
          <w:numId w:val="33"/>
        </w:numPr>
      </w:pPr>
      <w:r w:rsidRPr="00CD26C4">
        <w:t>Full records of receipt of business contributions will be retained, as the auditors will require evidence of receipt.</w:t>
      </w:r>
    </w:p>
    <w:p w14:paraId="77482523" w14:textId="77777777" w:rsidR="002F7DF8" w:rsidRDefault="002F7DF8" w:rsidP="002F7DF8">
      <w:pPr>
        <w:pStyle w:val="ListParagraph"/>
      </w:pPr>
    </w:p>
    <w:p w14:paraId="1B13A436" w14:textId="5180EE09" w:rsidR="002F7DF8" w:rsidRDefault="00CD26C4" w:rsidP="002F7DF8">
      <w:pPr>
        <w:pStyle w:val="ListParagraph"/>
        <w:numPr>
          <w:ilvl w:val="1"/>
          <w:numId w:val="33"/>
        </w:numPr>
        <w:tabs>
          <w:tab w:val="left" w:pos="284"/>
        </w:tabs>
        <w:ind w:left="851" w:hanging="567"/>
        <w:jc w:val="both"/>
      </w:pPr>
      <w:r w:rsidRPr="00CD26C4">
        <w:t>The cost effectiveness of the school’s fundraising activities will be reviewed regularly by the LGB to ensure that</w:t>
      </w:r>
      <w:r w:rsidR="002F7DF8">
        <w:t>:</w:t>
      </w:r>
    </w:p>
    <w:p w14:paraId="0AE7FE8F" w14:textId="77777777" w:rsidR="002F7DF8" w:rsidRPr="002F7DF8" w:rsidRDefault="002F7DF8" w:rsidP="002F7DF8">
      <w:pPr>
        <w:pStyle w:val="ListParagraph"/>
        <w:ind w:left="1512"/>
        <w:jc w:val="both"/>
        <w:rPr>
          <w:sz w:val="14"/>
          <w:szCs w:val="14"/>
        </w:rPr>
      </w:pPr>
    </w:p>
    <w:p w14:paraId="79C2CB26" w14:textId="62FFD053" w:rsidR="002F7DF8" w:rsidRDefault="00CD26C4" w:rsidP="002F7DF8">
      <w:pPr>
        <w:pStyle w:val="ListParagraph"/>
        <w:numPr>
          <w:ilvl w:val="0"/>
          <w:numId w:val="38"/>
        </w:numPr>
        <w:jc w:val="both"/>
      </w:pPr>
      <w:r w:rsidRPr="00CD26C4">
        <w:t>The fund concerned is being correctly operated in accordance with the fund objectives.</w:t>
      </w:r>
    </w:p>
    <w:p w14:paraId="0AE39957" w14:textId="63B218B5" w:rsidR="009D1F5C" w:rsidRDefault="00CD26C4" w:rsidP="002F7DF8">
      <w:pPr>
        <w:pStyle w:val="ListParagraph"/>
        <w:numPr>
          <w:ilvl w:val="0"/>
          <w:numId w:val="38"/>
        </w:numPr>
        <w:jc w:val="both"/>
      </w:pPr>
      <w:r w:rsidRPr="00CD26C4">
        <w:t>The financial statements produced by the SBM are correct.</w:t>
      </w:r>
    </w:p>
    <w:p w14:paraId="426AD5B5" w14:textId="77777777" w:rsidR="002F7DF8" w:rsidRDefault="002F7DF8" w:rsidP="002F7DF8">
      <w:pPr>
        <w:pStyle w:val="ListParagraph"/>
        <w:ind w:left="792"/>
      </w:pPr>
    </w:p>
    <w:p w14:paraId="72079B20" w14:textId="07741202" w:rsidR="00FA2BAF" w:rsidRPr="00FA2BAF" w:rsidRDefault="00FA2BAF" w:rsidP="002F7DF8">
      <w:pPr>
        <w:pStyle w:val="Subtitle"/>
        <w:numPr>
          <w:ilvl w:val="0"/>
          <w:numId w:val="33"/>
        </w:numPr>
      </w:pPr>
      <w:bookmarkStart w:id="11" w:name="_Toc48135845"/>
      <w:r w:rsidRPr="00FA2BAF">
        <w:t>Complaints</w:t>
      </w:r>
      <w:bookmarkEnd w:id="11"/>
    </w:p>
    <w:p w14:paraId="407E026E" w14:textId="77777777" w:rsidR="002F7DF8" w:rsidRPr="002F7DF8" w:rsidRDefault="002F7DF8" w:rsidP="002F7DF8">
      <w:pPr>
        <w:pStyle w:val="ListParagraph"/>
        <w:numPr>
          <w:ilvl w:val="0"/>
          <w:numId w:val="42"/>
        </w:numPr>
        <w:jc w:val="both"/>
        <w:rPr>
          <w:vanish/>
        </w:rPr>
      </w:pPr>
    </w:p>
    <w:p w14:paraId="74D5BFEE" w14:textId="77777777" w:rsidR="002F7DF8" w:rsidRPr="002F7DF8" w:rsidRDefault="002F7DF8" w:rsidP="002F7DF8">
      <w:pPr>
        <w:pStyle w:val="ListParagraph"/>
        <w:numPr>
          <w:ilvl w:val="0"/>
          <w:numId w:val="42"/>
        </w:numPr>
        <w:jc w:val="both"/>
        <w:rPr>
          <w:vanish/>
        </w:rPr>
      </w:pPr>
    </w:p>
    <w:p w14:paraId="3F3C6C0F" w14:textId="77777777" w:rsidR="002F7DF8" w:rsidRPr="002F7DF8" w:rsidRDefault="002F7DF8" w:rsidP="002F7DF8">
      <w:pPr>
        <w:pStyle w:val="ListParagraph"/>
        <w:numPr>
          <w:ilvl w:val="0"/>
          <w:numId w:val="42"/>
        </w:numPr>
        <w:jc w:val="both"/>
        <w:rPr>
          <w:vanish/>
        </w:rPr>
      </w:pPr>
    </w:p>
    <w:p w14:paraId="0556D3F6" w14:textId="77777777" w:rsidR="002F7DF8" w:rsidRPr="002F7DF8" w:rsidRDefault="002F7DF8" w:rsidP="002F7DF8">
      <w:pPr>
        <w:pStyle w:val="ListParagraph"/>
        <w:numPr>
          <w:ilvl w:val="0"/>
          <w:numId w:val="42"/>
        </w:numPr>
        <w:jc w:val="both"/>
        <w:rPr>
          <w:vanish/>
        </w:rPr>
      </w:pPr>
    </w:p>
    <w:p w14:paraId="0FC907E9" w14:textId="77777777" w:rsidR="002F7DF8" w:rsidRPr="002F7DF8" w:rsidRDefault="002F7DF8" w:rsidP="002F7DF8">
      <w:pPr>
        <w:pStyle w:val="ListParagraph"/>
        <w:numPr>
          <w:ilvl w:val="0"/>
          <w:numId w:val="42"/>
        </w:numPr>
        <w:jc w:val="both"/>
        <w:rPr>
          <w:vanish/>
        </w:rPr>
      </w:pPr>
    </w:p>
    <w:p w14:paraId="1693C7C3" w14:textId="77777777" w:rsidR="002F7DF8" w:rsidRPr="002F7DF8" w:rsidRDefault="002F7DF8" w:rsidP="002F7DF8">
      <w:pPr>
        <w:pStyle w:val="ListParagraph"/>
        <w:numPr>
          <w:ilvl w:val="0"/>
          <w:numId w:val="42"/>
        </w:numPr>
        <w:jc w:val="both"/>
        <w:rPr>
          <w:vanish/>
        </w:rPr>
      </w:pPr>
    </w:p>
    <w:p w14:paraId="00A120D7" w14:textId="77777777" w:rsidR="002F7DF8" w:rsidRPr="002F7DF8" w:rsidRDefault="002F7DF8" w:rsidP="002F7DF8">
      <w:pPr>
        <w:pStyle w:val="ListParagraph"/>
        <w:numPr>
          <w:ilvl w:val="0"/>
          <w:numId w:val="42"/>
        </w:numPr>
        <w:jc w:val="both"/>
        <w:rPr>
          <w:vanish/>
        </w:rPr>
      </w:pPr>
    </w:p>
    <w:p w14:paraId="7A44901B" w14:textId="77777777" w:rsidR="002F7DF8" w:rsidRPr="002F7DF8" w:rsidRDefault="002F7DF8" w:rsidP="002F7DF8">
      <w:pPr>
        <w:pStyle w:val="ListParagraph"/>
        <w:numPr>
          <w:ilvl w:val="0"/>
          <w:numId w:val="42"/>
        </w:numPr>
        <w:jc w:val="both"/>
        <w:rPr>
          <w:vanish/>
        </w:rPr>
      </w:pPr>
    </w:p>
    <w:p w14:paraId="06BE4A52" w14:textId="77777777" w:rsidR="002F7DF8" w:rsidRPr="002F7DF8" w:rsidRDefault="002F7DF8" w:rsidP="002F7DF8">
      <w:pPr>
        <w:pStyle w:val="ListParagraph"/>
        <w:numPr>
          <w:ilvl w:val="0"/>
          <w:numId w:val="42"/>
        </w:numPr>
        <w:jc w:val="both"/>
        <w:rPr>
          <w:vanish/>
        </w:rPr>
      </w:pPr>
    </w:p>
    <w:p w14:paraId="7F072F7F" w14:textId="51B611F9" w:rsidR="002F7DF8" w:rsidRDefault="00FA2BAF" w:rsidP="002F7DF8">
      <w:pPr>
        <w:pStyle w:val="ListParagraph"/>
        <w:numPr>
          <w:ilvl w:val="1"/>
          <w:numId w:val="42"/>
        </w:numPr>
        <w:jc w:val="both"/>
      </w:pPr>
      <w:r w:rsidRPr="00FA2BAF">
        <w:t>Any concerns regarding the school’s fundraising arrangements will be discussed initially with the SBM.</w:t>
      </w:r>
    </w:p>
    <w:p w14:paraId="50DC5A98" w14:textId="77777777" w:rsidR="002F7DF8" w:rsidRDefault="002F7DF8" w:rsidP="002F7DF8">
      <w:pPr>
        <w:pStyle w:val="ListParagraph"/>
        <w:ind w:left="792"/>
        <w:jc w:val="both"/>
      </w:pPr>
    </w:p>
    <w:p w14:paraId="5AE5DA1C" w14:textId="2C70D0CE" w:rsidR="00FA2BAF" w:rsidRPr="00FA2BAF" w:rsidRDefault="00FA2BAF" w:rsidP="002F7DF8">
      <w:pPr>
        <w:pStyle w:val="ListParagraph"/>
        <w:numPr>
          <w:ilvl w:val="1"/>
          <w:numId w:val="42"/>
        </w:numPr>
        <w:jc w:val="both"/>
      </w:pPr>
      <w:r w:rsidRPr="00FA2BAF">
        <w:t>When dealing with complaints, the school will ensure these are:</w:t>
      </w:r>
    </w:p>
    <w:p w14:paraId="111666BD" w14:textId="77777777" w:rsidR="002F7DF8" w:rsidRPr="002F7DF8" w:rsidRDefault="002F7DF8" w:rsidP="002F7DF8">
      <w:pPr>
        <w:pStyle w:val="ListParagraph"/>
        <w:ind w:left="1512"/>
        <w:jc w:val="both"/>
        <w:rPr>
          <w:sz w:val="14"/>
          <w:szCs w:val="14"/>
        </w:rPr>
      </w:pPr>
    </w:p>
    <w:p w14:paraId="29BA9621" w14:textId="77777777" w:rsidR="002F7DF8" w:rsidRDefault="00FA2BAF" w:rsidP="002F7DF8">
      <w:pPr>
        <w:pStyle w:val="ListParagraph"/>
        <w:numPr>
          <w:ilvl w:val="0"/>
          <w:numId w:val="38"/>
        </w:numPr>
        <w:jc w:val="both"/>
      </w:pPr>
      <w:r w:rsidRPr="00FA2BAF">
        <w:t>Investigated thoroughly and objectively to establish the facts.</w:t>
      </w:r>
    </w:p>
    <w:p w14:paraId="300BD845" w14:textId="761E487A" w:rsidR="00FA2BAF" w:rsidRDefault="00FA2BAF" w:rsidP="002F7DF8">
      <w:pPr>
        <w:pStyle w:val="ListParagraph"/>
        <w:numPr>
          <w:ilvl w:val="0"/>
          <w:numId w:val="38"/>
        </w:numPr>
        <w:jc w:val="both"/>
      </w:pPr>
      <w:r w:rsidRPr="00FA2BAF">
        <w:t>Responded to fairly, proportionately and appropriately.</w:t>
      </w:r>
    </w:p>
    <w:p w14:paraId="02CF7506" w14:textId="77777777" w:rsidR="002F7DF8" w:rsidRPr="00FA2BAF" w:rsidRDefault="002F7DF8" w:rsidP="002F7DF8">
      <w:pPr>
        <w:pStyle w:val="ListParagraph"/>
        <w:ind w:left="1512"/>
        <w:jc w:val="both"/>
      </w:pPr>
    </w:p>
    <w:p w14:paraId="51749A98" w14:textId="5D53018F" w:rsidR="00FA2BAF" w:rsidRDefault="00CA15F5" w:rsidP="002F7DF8">
      <w:pPr>
        <w:pStyle w:val="ListParagraph"/>
        <w:numPr>
          <w:ilvl w:val="1"/>
          <w:numId w:val="42"/>
        </w:numPr>
        <w:jc w:val="both"/>
      </w:pPr>
      <w:r>
        <w:t>The Trust has a clear C</w:t>
      </w:r>
      <w:r w:rsidR="00FA2BAF" w:rsidRPr="00FA2BAF">
        <w:t>omplaints procedure published on its website which also applies to any third-party fundraising on its behalf.</w:t>
      </w:r>
    </w:p>
    <w:p w14:paraId="1B448566" w14:textId="77777777" w:rsidR="002F7DF8" w:rsidRPr="00FA2BAF" w:rsidRDefault="002F7DF8" w:rsidP="002F7DF8">
      <w:pPr>
        <w:pStyle w:val="ListParagraph"/>
        <w:ind w:left="792"/>
        <w:jc w:val="both"/>
      </w:pPr>
    </w:p>
    <w:p w14:paraId="69149C84" w14:textId="5521E270" w:rsidR="001807E0" w:rsidRDefault="00FA2BAF" w:rsidP="002F7DF8">
      <w:pPr>
        <w:pStyle w:val="ListParagraph"/>
        <w:numPr>
          <w:ilvl w:val="1"/>
          <w:numId w:val="42"/>
        </w:numPr>
        <w:jc w:val="both"/>
      </w:pPr>
      <w:r w:rsidRPr="00FA2BAF">
        <w:t>All complaints regarding the school’s fundraising procedures will be dealt with in line with the Trust and school’s Complaints Procedures Policy.</w:t>
      </w:r>
    </w:p>
    <w:p w14:paraId="01DAE864" w14:textId="4611F5DB" w:rsidR="00FA2BAF" w:rsidRDefault="00FA2BAF" w:rsidP="00FA2BAF"/>
    <w:p w14:paraId="3A11AEE0" w14:textId="536E8976" w:rsidR="00FA2BAF" w:rsidRDefault="00FA2BAF" w:rsidP="00FA2BAF"/>
    <w:p w14:paraId="529C55A6" w14:textId="528E9CB7" w:rsidR="00FA2BAF" w:rsidRDefault="00FA2BAF" w:rsidP="00FA2BAF"/>
    <w:p w14:paraId="441F0966" w14:textId="75B85DA0" w:rsidR="00FA2BAF" w:rsidRDefault="00FA2BAF" w:rsidP="00FA2BAF"/>
    <w:p w14:paraId="3CECBF95" w14:textId="77777777" w:rsidR="00FA2BAF" w:rsidRPr="00FA2BAF" w:rsidRDefault="00FA2BAF" w:rsidP="00FA2BAF"/>
    <w:p w14:paraId="05007312" w14:textId="77777777" w:rsidR="001807E0" w:rsidRDefault="001807E0" w:rsidP="00CF6A7E">
      <w:pPr>
        <w:pStyle w:val="Subtitle"/>
      </w:pPr>
    </w:p>
    <w:p w14:paraId="5A91B35C" w14:textId="77777777" w:rsidR="009D1F5C" w:rsidRDefault="009D1F5C" w:rsidP="001807E0">
      <w:pPr>
        <w:pStyle w:val="Heading3"/>
        <w:sectPr w:rsidR="009D1F5C" w:rsidSect="00C63AC6">
          <w:pgSz w:w="11906" w:h="16838"/>
          <w:pgMar w:top="1440" w:right="1440" w:bottom="1440" w:left="1440" w:header="708" w:footer="708" w:gutter="0"/>
          <w:cols w:space="708"/>
          <w:titlePg/>
          <w:docGrid w:linePitch="360"/>
        </w:sectPr>
      </w:pPr>
    </w:p>
    <w:p w14:paraId="249E516B" w14:textId="56176530" w:rsidR="00CF6A7E" w:rsidRPr="00D25A07" w:rsidRDefault="00FA2BAF" w:rsidP="001807E0">
      <w:pPr>
        <w:pStyle w:val="Heading3"/>
      </w:pPr>
      <w:bookmarkStart w:id="12" w:name="_Toc48135846"/>
      <w:r>
        <w:lastRenderedPageBreak/>
        <w:t>P</w:t>
      </w:r>
      <w:r w:rsidR="00CF6A7E">
        <w:t>olicy Review</w:t>
      </w:r>
      <w:bookmarkEnd w:id="12"/>
    </w:p>
    <w:p w14:paraId="7D2E24FD" w14:textId="77777777" w:rsidR="001807E0" w:rsidRDefault="001807E0" w:rsidP="00CF6A7E"/>
    <w:p w14:paraId="5C972400" w14:textId="77777777" w:rsidR="00FA2BAF" w:rsidRDefault="00CF6A7E" w:rsidP="00CF6A7E">
      <w:r w:rsidRPr="00CF6A7E">
        <w:t>This</w:t>
      </w:r>
      <w:r w:rsidR="00A43801">
        <w:t xml:space="preserve"> </w:t>
      </w:r>
      <w:r w:rsidRPr="00CF6A7E">
        <w:t xml:space="preserve">policy </w:t>
      </w:r>
      <w:r w:rsidR="00577F84">
        <w:t xml:space="preserve">will </w:t>
      </w:r>
      <w:r w:rsidR="00A43801">
        <w:t xml:space="preserve">be </w:t>
      </w:r>
      <w:r w:rsidR="002F7DF8" w:rsidRPr="002F7DF8">
        <w:t>monitored and reviewed every 3 years by the Trust’s Head of Finance</w:t>
      </w:r>
      <w:r w:rsidR="002F7DF8">
        <w:t>,</w:t>
      </w:r>
      <w:r w:rsidR="00577F84">
        <w:t xml:space="preserve"> as per the REAch2 policy cycle or sooner if required.</w:t>
      </w:r>
    </w:p>
    <w:p w14:paraId="1F57440C" w14:textId="4AED3D94" w:rsidR="002F7DF8" w:rsidRDefault="002F7DF8" w:rsidP="00CF6A7E">
      <w:pPr>
        <w:sectPr w:rsidR="002F7DF8" w:rsidSect="00C63AC6">
          <w:pgSz w:w="11906" w:h="16838"/>
          <w:pgMar w:top="1440" w:right="1440" w:bottom="1440" w:left="1440" w:header="708" w:footer="708" w:gutter="0"/>
          <w:cols w:space="708"/>
          <w:titlePg/>
          <w:docGrid w:linePitch="360"/>
        </w:sectPr>
      </w:pPr>
      <w:r w:rsidRPr="002F7DF8">
        <w:t xml:space="preserve">The scheduled review date for this policy is </w:t>
      </w:r>
      <w:r w:rsidR="00543009">
        <w:rPr>
          <w:b/>
          <w:bCs/>
        </w:rPr>
        <w:t>October</w:t>
      </w:r>
      <w:r w:rsidRPr="002F7DF8">
        <w:rPr>
          <w:b/>
          <w:bCs/>
        </w:rPr>
        <w:t xml:space="preserve"> 2023.</w:t>
      </w:r>
    </w:p>
    <w:p w14:paraId="6A5721AB" w14:textId="5B62E410" w:rsidR="00FA2BAF" w:rsidRDefault="00FA2BAF" w:rsidP="00FA2BAF">
      <w:pPr>
        <w:pStyle w:val="Heading3"/>
      </w:pPr>
      <w:bookmarkStart w:id="13" w:name="_Toc48135847"/>
      <w:r>
        <w:lastRenderedPageBreak/>
        <w:t>Policy Adoption</w:t>
      </w:r>
      <w:bookmarkEnd w:id="13"/>
    </w:p>
    <w:p w14:paraId="7BD4154C" w14:textId="77777777" w:rsidR="00FA2BAF" w:rsidRPr="00FA2BAF" w:rsidRDefault="00FA2BAF" w:rsidP="00FA2BAF"/>
    <w:tbl>
      <w:tblPr>
        <w:tblStyle w:val="TableGrid"/>
        <w:tblpPr w:leftFromText="180" w:rightFromText="180" w:vertAnchor="text" w:horzAnchor="margin" w:tblpY="597"/>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A2BAF" w14:paraId="6105F158" w14:textId="77777777" w:rsidTr="000E694F">
        <w:trPr>
          <w:trHeight w:val="389"/>
        </w:trPr>
        <w:tc>
          <w:tcPr>
            <w:tcW w:w="9026" w:type="dxa"/>
            <w:gridSpan w:val="4"/>
            <w:vAlign w:val="center"/>
          </w:tcPr>
          <w:p w14:paraId="75DE992A" w14:textId="77777777" w:rsidR="00FA2BAF" w:rsidRDefault="00FA2BAF" w:rsidP="000E694F">
            <w:pPr>
              <w:spacing w:after="200" w:line="276" w:lineRule="auto"/>
              <w:jc w:val="both"/>
            </w:pPr>
          </w:p>
          <w:p w14:paraId="77A6E4A7" w14:textId="77777777" w:rsidR="00FA2BAF" w:rsidRDefault="00FA2BAF" w:rsidP="000E694F">
            <w:pPr>
              <w:spacing w:after="200" w:line="276" w:lineRule="auto"/>
              <w:jc w:val="both"/>
            </w:pPr>
          </w:p>
          <w:p w14:paraId="589ED95F" w14:textId="77777777" w:rsidR="00FA2BAF" w:rsidRDefault="00FA2BAF" w:rsidP="000E694F">
            <w:pPr>
              <w:spacing w:after="200" w:line="276" w:lineRule="auto"/>
              <w:jc w:val="both"/>
            </w:pPr>
            <w:r w:rsidRPr="007271AF">
              <w:t>Signed by</w:t>
            </w:r>
            <w:r>
              <w:t>:</w:t>
            </w:r>
          </w:p>
        </w:tc>
      </w:tr>
      <w:tr w:rsidR="00FA2BAF" w14:paraId="79CDD7D6" w14:textId="77777777" w:rsidTr="000E694F">
        <w:trPr>
          <w:trHeight w:val="624"/>
        </w:trPr>
        <w:tc>
          <w:tcPr>
            <w:tcW w:w="2813" w:type="dxa"/>
            <w:tcBorders>
              <w:bottom w:val="single" w:sz="2" w:space="0" w:color="auto"/>
            </w:tcBorders>
          </w:tcPr>
          <w:p w14:paraId="3C08A306" w14:textId="77777777" w:rsidR="00FA2BAF" w:rsidRPr="007271AF" w:rsidRDefault="00FA2BAF" w:rsidP="000E694F">
            <w:pPr>
              <w:spacing w:after="200" w:line="276" w:lineRule="auto"/>
              <w:jc w:val="both"/>
            </w:pPr>
          </w:p>
        </w:tc>
        <w:tc>
          <w:tcPr>
            <w:tcW w:w="2149" w:type="dxa"/>
            <w:vAlign w:val="bottom"/>
          </w:tcPr>
          <w:p w14:paraId="3262DFCB" w14:textId="77777777" w:rsidR="00FA2BAF" w:rsidRDefault="00FA2BAF" w:rsidP="000E694F">
            <w:pPr>
              <w:spacing w:after="200" w:line="276" w:lineRule="auto"/>
              <w:jc w:val="both"/>
            </w:pPr>
            <w:r w:rsidRPr="0066208C">
              <w:t>Headteacher</w:t>
            </w:r>
          </w:p>
        </w:tc>
        <w:tc>
          <w:tcPr>
            <w:tcW w:w="846" w:type="dxa"/>
            <w:vAlign w:val="bottom"/>
          </w:tcPr>
          <w:p w14:paraId="16303495" w14:textId="77777777" w:rsidR="00FA2BAF" w:rsidRDefault="00FA2BAF" w:rsidP="000E694F">
            <w:pPr>
              <w:spacing w:after="200" w:line="276" w:lineRule="auto"/>
              <w:jc w:val="both"/>
            </w:pPr>
            <w:r w:rsidRPr="007271AF">
              <w:t>Date:</w:t>
            </w:r>
          </w:p>
        </w:tc>
        <w:tc>
          <w:tcPr>
            <w:tcW w:w="3218" w:type="dxa"/>
            <w:tcBorders>
              <w:bottom w:val="single" w:sz="2" w:space="0" w:color="auto"/>
            </w:tcBorders>
          </w:tcPr>
          <w:p w14:paraId="525DF6B1" w14:textId="77777777" w:rsidR="00FA2BAF" w:rsidRDefault="00FA2BAF" w:rsidP="000E694F">
            <w:pPr>
              <w:spacing w:after="200" w:line="276" w:lineRule="auto"/>
              <w:jc w:val="both"/>
            </w:pPr>
          </w:p>
        </w:tc>
      </w:tr>
      <w:tr w:rsidR="00FA2BAF" w14:paraId="1D3F6172" w14:textId="77777777" w:rsidTr="000E694F">
        <w:trPr>
          <w:trHeight w:val="624"/>
        </w:trPr>
        <w:tc>
          <w:tcPr>
            <w:tcW w:w="2813" w:type="dxa"/>
            <w:tcBorders>
              <w:top w:val="single" w:sz="2" w:space="0" w:color="auto"/>
              <w:bottom w:val="single" w:sz="4" w:space="0" w:color="auto"/>
            </w:tcBorders>
          </w:tcPr>
          <w:p w14:paraId="68DE3064" w14:textId="77777777" w:rsidR="00FA2BAF" w:rsidRPr="007271AF" w:rsidRDefault="00FA2BAF" w:rsidP="000E694F">
            <w:pPr>
              <w:spacing w:after="200" w:line="276" w:lineRule="auto"/>
              <w:jc w:val="both"/>
            </w:pPr>
          </w:p>
        </w:tc>
        <w:tc>
          <w:tcPr>
            <w:tcW w:w="2149" w:type="dxa"/>
            <w:vAlign w:val="bottom"/>
          </w:tcPr>
          <w:p w14:paraId="2EF34BB7" w14:textId="2DA0E0CD" w:rsidR="00FA2BAF" w:rsidRDefault="00FA2BAF" w:rsidP="000E694F">
            <w:pPr>
              <w:spacing w:after="200" w:line="276" w:lineRule="auto"/>
              <w:jc w:val="both"/>
              <w:rPr>
                <w:highlight w:val="lightGray"/>
              </w:rPr>
            </w:pPr>
            <w:r>
              <w:t>Chair of G</w:t>
            </w:r>
            <w:r w:rsidRPr="007271AF">
              <w:t>overnors</w:t>
            </w:r>
          </w:p>
        </w:tc>
        <w:tc>
          <w:tcPr>
            <w:tcW w:w="846" w:type="dxa"/>
            <w:vAlign w:val="bottom"/>
          </w:tcPr>
          <w:p w14:paraId="46AC67B9" w14:textId="77777777" w:rsidR="00FA2BAF" w:rsidRDefault="00FA2BAF" w:rsidP="000E694F">
            <w:pPr>
              <w:spacing w:after="200" w:line="276" w:lineRule="auto"/>
              <w:jc w:val="both"/>
            </w:pPr>
            <w:r w:rsidRPr="007271AF">
              <w:t>Date:</w:t>
            </w:r>
          </w:p>
        </w:tc>
        <w:tc>
          <w:tcPr>
            <w:tcW w:w="3218" w:type="dxa"/>
            <w:tcBorders>
              <w:top w:val="single" w:sz="2" w:space="0" w:color="auto"/>
              <w:bottom w:val="single" w:sz="4" w:space="0" w:color="auto"/>
            </w:tcBorders>
          </w:tcPr>
          <w:p w14:paraId="5F13FF8B" w14:textId="77777777" w:rsidR="00FA2BAF" w:rsidRDefault="00FA2BAF" w:rsidP="000E694F">
            <w:pPr>
              <w:spacing w:after="200" w:line="276" w:lineRule="auto"/>
              <w:jc w:val="both"/>
            </w:pPr>
          </w:p>
        </w:tc>
      </w:tr>
    </w:tbl>
    <w:p w14:paraId="238A261C" w14:textId="54AEE3EF" w:rsidR="00FA2BAF" w:rsidRDefault="00FA2BAF" w:rsidP="00FA2BAF">
      <w:pPr>
        <w:rPr>
          <w:rFonts w:asciiTheme="majorHAnsi" w:eastAsiaTheme="majorEastAsia" w:hAnsiTheme="majorHAnsi" w:cstheme="majorBidi"/>
          <w:color w:val="2F5496" w:themeColor="accent1" w:themeShade="BF"/>
          <w:sz w:val="28"/>
          <w:szCs w:val="28"/>
        </w:rPr>
      </w:pPr>
      <w:r w:rsidRPr="00946659">
        <w:rPr>
          <w:noProof/>
          <w:lang w:eastAsia="en-GB"/>
        </w:rPr>
        <w:drawing>
          <wp:anchor distT="0" distB="0" distL="114300" distR="114300" simplePos="0" relativeHeight="251665408" behindDoc="1" locked="0" layoutInCell="1" allowOverlap="1" wp14:anchorId="05E4D5E5" wp14:editId="36EE5DE0">
            <wp:simplePos x="0" y="0"/>
            <wp:positionH relativeFrom="margin">
              <wp:posOffset>2317750</wp:posOffset>
            </wp:positionH>
            <wp:positionV relativeFrom="margin">
              <wp:posOffset>7796530</wp:posOffset>
            </wp:positionV>
            <wp:extent cx="1000125" cy="647065"/>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0125" cy="647065"/>
                    </a:xfrm>
                    <a:prstGeom prst="rect">
                      <a:avLst/>
                    </a:prstGeom>
                  </pic:spPr>
                </pic:pic>
              </a:graphicData>
            </a:graphic>
            <wp14:sizeRelH relativeFrom="margin">
              <wp14:pctWidth>0</wp14:pctWidth>
            </wp14:sizeRelH>
            <wp14:sizeRelV relativeFrom="margin">
              <wp14:pctHeight>0</wp14:pctHeight>
            </wp14:sizeRelV>
          </wp:anchor>
        </w:drawing>
      </w:r>
      <w:r>
        <w:t>This policy has been adopted:</w:t>
      </w:r>
      <w:r w:rsidRPr="00946659">
        <w:rPr>
          <w:noProof/>
        </w:rPr>
        <w:t xml:space="preserve"> </w:t>
      </w:r>
      <w:r w:rsidRPr="00946659">
        <w:rPr>
          <w:noProof/>
          <w:lang w:eastAsia="en-GB"/>
        </w:rPr>
        <mc:AlternateContent>
          <mc:Choice Requires="wps">
            <w:drawing>
              <wp:anchor distT="45720" distB="45720" distL="114300" distR="114300" simplePos="0" relativeHeight="251664384" behindDoc="1" locked="1" layoutInCell="1" allowOverlap="1" wp14:anchorId="7194303D" wp14:editId="5D0B9A81">
                <wp:simplePos x="0" y="0"/>
                <wp:positionH relativeFrom="column">
                  <wp:posOffset>-952500</wp:posOffset>
                </wp:positionH>
                <wp:positionV relativeFrom="page">
                  <wp:posOffset>9772650</wp:posOffset>
                </wp:positionV>
                <wp:extent cx="758190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19125"/>
                        </a:xfrm>
                        <a:prstGeom prst="rect">
                          <a:avLst/>
                        </a:prstGeom>
                        <a:solidFill>
                          <a:srgbClr val="FFFFFF"/>
                        </a:solidFill>
                        <a:ln w="9525">
                          <a:noFill/>
                          <a:miter lim="800000"/>
                          <a:headEnd/>
                          <a:tailEnd/>
                        </a:ln>
                      </wps:spPr>
                      <wps:txbx>
                        <w:txbxContent>
                          <w:p w14:paraId="117348E7" w14:textId="77777777" w:rsidR="00FA2BAF" w:rsidRPr="001807E0" w:rsidRDefault="00FA2BAF" w:rsidP="00FA2BAF">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 Company number 08452281</w:t>
                            </w:r>
                            <w:r w:rsidRPr="001807E0">
                              <w:rPr>
                                <w:rFonts w:asciiTheme="majorHAnsi" w:hAnsiTheme="majorHAnsi" w:cstheme="majorHAnsi"/>
                                <w:sz w:val="16"/>
                                <w:szCs w:val="16"/>
                                <w:lang w:eastAsia="en-GB"/>
                              </w:rPr>
                              <w:br/>
                              <w:t xml:space="preserve">Registered office Address: REAch2 Academy Trust, Henhurst Ridge Primary Academy, Henhurst Ridge, Burton upon Trent, Staffordshire, DE13 9TQ </w:t>
                            </w:r>
                            <w:r w:rsidRPr="001807E0">
                              <w:rPr>
                                <w:rFonts w:asciiTheme="majorHAnsi" w:hAnsiTheme="majorHAnsi" w:cstheme="majorHAnsi"/>
                                <w:sz w:val="16"/>
                                <w:szCs w:val="16"/>
                                <w:lang w:eastAsia="en-GB"/>
                              </w:rPr>
                              <w:br/>
                              <w:t>VAT Number: 220 8862 15</w:t>
                            </w:r>
                          </w:p>
                          <w:p w14:paraId="0EC08BE8" w14:textId="77777777" w:rsidR="00FA2BAF" w:rsidRDefault="00FA2BAF" w:rsidP="00FA2BAF"/>
                          <w:p w14:paraId="0BC3E96C" w14:textId="77777777" w:rsidR="00FA2BAF" w:rsidRDefault="00FA2BAF" w:rsidP="00FA2B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4303D" id="Text Box 2" o:spid="_x0000_s1027" type="#_x0000_t202" style="position:absolute;margin-left:-75pt;margin-top:769.5pt;width:597pt;height:48.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i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" stroked="f">
                <v:textbox>
                  <w:txbxContent>
                    <w:p w14:paraId="117348E7" w14:textId="77777777" w:rsidR="00FA2BAF" w:rsidRPr="001807E0" w:rsidRDefault="00FA2BAF" w:rsidP="00FA2BAF">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 Company number 08452281</w:t>
                      </w:r>
                      <w:r w:rsidRPr="001807E0">
                        <w:rPr>
                          <w:rFonts w:asciiTheme="majorHAnsi" w:hAnsiTheme="majorHAnsi" w:cstheme="majorHAnsi"/>
                          <w:sz w:val="16"/>
                          <w:szCs w:val="16"/>
                          <w:lang w:eastAsia="en-GB"/>
                        </w:rPr>
                        <w:br/>
                        <w:t xml:space="preserve">Registered office Address: REAch2 Academy Trust, Henhurst Ridge Primary Academy, Henhurst Ridge, Burton upon Trent, Staffordshire, DE13 9TQ </w:t>
                      </w:r>
                      <w:r w:rsidRPr="001807E0">
                        <w:rPr>
                          <w:rFonts w:asciiTheme="majorHAnsi" w:hAnsiTheme="majorHAnsi" w:cstheme="majorHAnsi"/>
                          <w:sz w:val="16"/>
                          <w:szCs w:val="16"/>
                          <w:lang w:eastAsia="en-GB"/>
                        </w:rPr>
                        <w:br/>
                        <w:t>VAT Number: 220 8862 15</w:t>
                      </w:r>
                    </w:p>
                    <w:p w14:paraId="0EC08BE8" w14:textId="77777777" w:rsidR="00FA2BAF" w:rsidRDefault="00FA2BAF" w:rsidP="00FA2BAF"/>
                    <w:p w14:paraId="0BC3E96C" w14:textId="77777777" w:rsidR="00FA2BAF" w:rsidRDefault="00FA2BAF" w:rsidP="00FA2BAF">
                      <w:pPr>
                        <w:jc w:val="center"/>
                      </w:pPr>
                    </w:p>
                  </w:txbxContent>
                </v:textbox>
                <w10:wrap anchory="page"/>
                <w10:anchorlock/>
              </v:shape>
            </w:pict>
          </mc:Fallback>
        </mc:AlternateContent>
      </w:r>
    </w:p>
    <w:sectPr w:rsidR="00FA2BAF" w:rsidSect="002155A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279B" w14:textId="77777777" w:rsidR="00A15E38" w:rsidRDefault="00A15E38" w:rsidP="00294817">
      <w:pPr>
        <w:spacing w:after="0"/>
      </w:pPr>
      <w:r>
        <w:separator/>
      </w:r>
    </w:p>
  </w:endnote>
  <w:endnote w:type="continuationSeparator" w:id="0">
    <w:p w14:paraId="04F1EB06" w14:textId="77777777" w:rsidR="00A15E38" w:rsidRDefault="00A15E38" w:rsidP="00294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0325" w14:textId="77777777" w:rsidR="00CA15F5" w:rsidRDefault="00CA1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21036F59" w14:textId="2E9F8547"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15F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15F5">
              <w:rPr>
                <w:b/>
                <w:bCs/>
                <w:noProof/>
              </w:rPr>
              <w:t>11</w:t>
            </w:r>
            <w:r>
              <w:rPr>
                <w:b/>
                <w:bCs/>
                <w:sz w:val="24"/>
                <w:szCs w:val="24"/>
              </w:rPr>
              <w:fldChar w:fldCharType="end"/>
            </w:r>
          </w:p>
        </w:sdtContent>
      </w:sdt>
    </w:sdtContent>
  </w:sdt>
  <w:p w14:paraId="77632CC4" w14:textId="77777777" w:rsidR="00294817" w:rsidRDefault="00294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470703"/>
      <w:docPartObj>
        <w:docPartGallery w:val="Page Numbers (Bottom of Page)"/>
        <w:docPartUnique/>
      </w:docPartObj>
    </w:sdtPr>
    <w:sdtEndPr/>
    <w:sdtContent>
      <w:sdt>
        <w:sdtPr>
          <w:id w:val="1723250164"/>
          <w:docPartObj>
            <w:docPartGallery w:val="Page Numbers (Top of Page)"/>
            <w:docPartUnique/>
          </w:docPartObj>
        </w:sdtPr>
        <w:sdtEndPr/>
        <w:sdtContent>
          <w:p w14:paraId="566E47F7" w14:textId="6C994DE2" w:rsidR="002B5187" w:rsidRDefault="002B5187" w:rsidP="002B51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15F5">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15F5">
              <w:rPr>
                <w:b/>
                <w:bCs/>
                <w:noProof/>
              </w:rPr>
              <w:t>11</w:t>
            </w:r>
            <w:r>
              <w:rPr>
                <w:b/>
                <w:bCs/>
                <w:sz w:val="24"/>
                <w:szCs w:val="24"/>
              </w:rPr>
              <w:fldChar w:fldCharType="end"/>
            </w:r>
          </w:p>
        </w:sdtContent>
      </w:sdt>
    </w:sdtContent>
  </w:sdt>
  <w:p w14:paraId="32DF3A0A" w14:textId="77777777" w:rsidR="002B5187" w:rsidRDefault="002B5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872317"/>
      <w:docPartObj>
        <w:docPartGallery w:val="Page Numbers (Bottom of Page)"/>
        <w:docPartUnique/>
      </w:docPartObj>
    </w:sdtPr>
    <w:sdtEndPr/>
    <w:sdtContent>
      <w:sdt>
        <w:sdtPr>
          <w:id w:val="532542486"/>
          <w:docPartObj>
            <w:docPartGallery w:val="Page Numbers (Top of Page)"/>
            <w:docPartUnique/>
          </w:docPartObj>
        </w:sdtPr>
        <w:sdtEndPr/>
        <w:sdtContent>
          <w:p w14:paraId="320F3E28" w14:textId="03B9C6A6" w:rsidR="00C63AC6" w:rsidRDefault="00C63A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15F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15F5">
              <w:rPr>
                <w:b/>
                <w:bCs/>
                <w:noProof/>
              </w:rPr>
              <w:t>11</w:t>
            </w:r>
            <w:r>
              <w:rPr>
                <w:b/>
                <w:bCs/>
                <w:sz w:val="24"/>
                <w:szCs w:val="24"/>
              </w:rPr>
              <w:fldChar w:fldCharType="end"/>
            </w:r>
          </w:p>
        </w:sdtContent>
      </w:sdt>
    </w:sdtContent>
  </w:sdt>
  <w:p w14:paraId="0DD0645E" w14:textId="77777777" w:rsidR="00C63AC6" w:rsidRDefault="00C6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53032" w14:textId="77777777" w:rsidR="00A15E38" w:rsidRDefault="00A15E38" w:rsidP="00294817">
      <w:pPr>
        <w:spacing w:after="0"/>
      </w:pPr>
      <w:r>
        <w:separator/>
      </w:r>
    </w:p>
  </w:footnote>
  <w:footnote w:type="continuationSeparator" w:id="0">
    <w:p w14:paraId="3C604E30" w14:textId="77777777" w:rsidR="00A15E38" w:rsidRDefault="00A15E38" w:rsidP="002948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F22" w14:textId="77777777" w:rsidR="00CA15F5" w:rsidRDefault="00CA1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69F0" w14:textId="77777777" w:rsidR="00CA15F5" w:rsidRDefault="00CA1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34B5" w14:textId="77777777" w:rsidR="00CA15F5" w:rsidRDefault="00CA1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0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25B55"/>
    <w:multiLevelType w:val="hybridMultilevel"/>
    <w:tmpl w:val="440A81B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0A72"/>
    <w:multiLevelType w:val="multilevel"/>
    <w:tmpl w:val="D3168C8C"/>
    <w:lvl w:ilvl="0">
      <w:start w:val="1"/>
      <w:numFmt w:val="decimal"/>
      <w:lvlText w:val="%1."/>
      <w:lvlJc w:val="left"/>
      <w:pPr>
        <w:ind w:left="360" w:hanging="360"/>
      </w:pPr>
    </w:lvl>
    <w:lvl w:ilvl="1">
      <w:start w:val="3"/>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B15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81AF6"/>
    <w:multiLevelType w:val="hybridMultilevel"/>
    <w:tmpl w:val="1EE6B68E"/>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5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322DA"/>
    <w:multiLevelType w:val="multilevel"/>
    <w:tmpl w:val="38ACB1C4"/>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913426"/>
    <w:multiLevelType w:val="hybridMultilevel"/>
    <w:tmpl w:val="B164F6C0"/>
    <w:lvl w:ilvl="0" w:tplc="DBF4C736">
      <w:start w:val="3"/>
      <w:numFmt w:val="bullet"/>
      <w:lvlText w:val="-"/>
      <w:lvlJc w:val="left"/>
      <w:pPr>
        <w:ind w:left="1512" w:hanging="360"/>
      </w:pPr>
      <w:rPr>
        <w:rFonts w:ascii="Arial" w:eastAsia="Times New Roman" w:hAnsi="Arial" w:cs="Aria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18EB27BB"/>
    <w:multiLevelType w:val="multilevel"/>
    <w:tmpl w:val="F76EC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5B609C"/>
    <w:multiLevelType w:val="hybridMultilevel"/>
    <w:tmpl w:val="1B14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0854"/>
    <w:multiLevelType w:val="hybridMultilevel"/>
    <w:tmpl w:val="403A5C8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F04F4"/>
    <w:multiLevelType w:val="hybridMultilevel"/>
    <w:tmpl w:val="6A744A9C"/>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90843"/>
    <w:multiLevelType w:val="hybridMultilevel"/>
    <w:tmpl w:val="5424473E"/>
    <w:lvl w:ilvl="0" w:tplc="8B1E83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97B7A"/>
    <w:multiLevelType w:val="hybridMultilevel"/>
    <w:tmpl w:val="B85E9C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40517C"/>
    <w:multiLevelType w:val="hybridMultilevel"/>
    <w:tmpl w:val="70980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992652"/>
    <w:multiLevelType w:val="hybridMultilevel"/>
    <w:tmpl w:val="9CAA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22E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563CE"/>
    <w:multiLevelType w:val="hybridMultilevel"/>
    <w:tmpl w:val="EF0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D38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8E0CBD"/>
    <w:multiLevelType w:val="hybridMultilevel"/>
    <w:tmpl w:val="BE9A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96DA0"/>
    <w:multiLevelType w:val="multilevel"/>
    <w:tmpl w:val="E0720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E40794"/>
    <w:multiLevelType w:val="hybridMultilevel"/>
    <w:tmpl w:val="CAEAE8D2"/>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75E0B"/>
    <w:multiLevelType w:val="hybridMultilevel"/>
    <w:tmpl w:val="3286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B7C5D"/>
    <w:multiLevelType w:val="hybridMultilevel"/>
    <w:tmpl w:val="A63E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66E7E"/>
    <w:multiLevelType w:val="hybridMultilevel"/>
    <w:tmpl w:val="606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F02CE"/>
    <w:multiLevelType w:val="hybridMultilevel"/>
    <w:tmpl w:val="77F4588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576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2DCC"/>
    <w:multiLevelType w:val="hybridMultilevel"/>
    <w:tmpl w:val="7024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4D7F04"/>
    <w:multiLevelType w:val="hybridMultilevel"/>
    <w:tmpl w:val="009A5C66"/>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4064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EB78FE"/>
    <w:multiLevelType w:val="hybridMultilevel"/>
    <w:tmpl w:val="6A1E8284"/>
    <w:lvl w:ilvl="0" w:tplc="8EFE376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184A4B"/>
    <w:multiLevelType w:val="hybridMultilevel"/>
    <w:tmpl w:val="AC18C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384E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BF3B9C"/>
    <w:multiLevelType w:val="hybridMultilevel"/>
    <w:tmpl w:val="1146FBEC"/>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93C4E"/>
    <w:multiLevelType w:val="hybridMultilevel"/>
    <w:tmpl w:val="673A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E4FAD"/>
    <w:multiLevelType w:val="hybridMultilevel"/>
    <w:tmpl w:val="B6D00140"/>
    <w:lvl w:ilvl="0" w:tplc="DBF4C736">
      <w:start w:val="3"/>
      <w:numFmt w:val="bullet"/>
      <w:lvlText w:val="-"/>
      <w:lvlJc w:val="left"/>
      <w:pPr>
        <w:ind w:left="1512" w:hanging="360"/>
      </w:pPr>
      <w:rPr>
        <w:rFonts w:ascii="Arial" w:eastAsia="Times New Roman" w:hAnsi="Arial" w:cs="Aria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99726CF"/>
    <w:multiLevelType w:val="hybridMultilevel"/>
    <w:tmpl w:val="25AC8CB2"/>
    <w:lvl w:ilvl="0" w:tplc="DBF4C736">
      <w:start w:val="3"/>
      <w:numFmt w:val="bullet"/>
      <w:lvlText w:val="-"/>
      <w:lvlJc w:val="left"/>
      <w:pPr>
        <w:ind w:left="1512" w:hanging="360"/>
      </w:pPr>
      <w:rPr>
        <w:rFonts w:ascii="Arial" w:eastAsia="Times New Roman" w:hAnsi="Arial" w:cs="Aria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9" w15:restartNumberingAfterBreak="0">
    <w:nsid w:val="6BA20306"/>
    <w:multiLevelType w:val="hybridMultilevel"/>
    <w:tmpl w:val="6CF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53D94"/>
    <w:multiLevelType w:val="hybridMultilevel"/>
    <w:tmpl w:val="3212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6551B"/>
    <w:multiLevelType w:val="hybridMultilevel"/>
    <w:tmpl w:val="73840D7E"/>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47F9C"/>
    <w:multiLevelType w:val="hybridMultilevel"/>
    <w:tmpl w:val="B94A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19"/>
  </w:num>
  <w:num w:numId="5">
    <w:abstractNumId w:val="39"/>
  </w:num>
  <w:num w:numId="6">
    <w:abstractNumId w:val="42"/>
  </w:num>
  <w:num w:numId="7">
    <w:abstractNumId w:val="40"/>
  </w:num>
  <w:num w:numId="8">
    <w:abstractNumId w:val="25"/>
  </w:num>
  <w:num w:numId="9">
    <w:abstractNumId w:val="23"/>
  </w:num>
  <w:num w:numId="10">
    <w:abstractNumId w:val="9"/>
  </w:num>
  <w:num w:numId="11">
    <w:abstractNumId w:val="24"/>
  </w:num>
  <w:num w:numId="12">
    <w:abstractNumId w:val="30"/>
  </w:num>
  <w:num w:numId="13">
    <w:abstractNumId w:val="35"/>
  </w:num>
  <w:num w:numId="14">
    <w:abstractNumId w:val="4"/>
  </w:num>
  <w:num w:numId="15">
    <w:abstractNumId w:val="41"/>
  </w:num>
  <w:num w:numId="16">
    <w:abstractNumId w:val="26"/>
  </w:num>
  <w:num w:numId="17">
    <w:abstractNumId w:val="21"/>
  </w:num>
  <w:num w:numId="18">
    <w:abstractNumId w:val="29"/>
  </w:num>
  <w:num w:numId="19">
    <w:abstractNumId w:val="6"/>
  </w:num>
  <w:num w:numId="20">
    <w:abstractNumId w:val="0"/>
  </w:num>
  <w:num w:numId="21">
    <w:abstractNumId w:val="33"/>
  </w:num>
  <w:num w:numId="22">
    <w:abstractNumId w:val="32"/>
  </w:num>
  <w:num w:numId="23">
    <w:abstractNumId w:val="28"/>
  </w:num>
  <w:num w:numId="24">
    <w:abstractNumId w:val="20"/>
  </w:num>
  <w:num w:numId="25">
    <w:abstractNumId w:val="14"/>
  </w:num>
  <w:num w:numId="26">
    <w:abstractNumId w:val="13"/>
  </w:num>
  <w:num w:numId="27">
    <w:abstractNumId w:val="15"/>
  </w:num>
  <w:num w:numId="28">
    <w:abstractNumId w:val="36"/>
  </w:num>
  <w:num w:numId="29">
    <w:abstractNumId w:val="12"/>
  </w:num>
  <w:num w:numId="30">
    <w:abstractNumId w:val="1"/>
  </w:num>
  <w:num w:numId="31">
    <w:abstractNumId w:val="5"/>
  </w:num>
  <w:num w:numId="32">
    <w:abstractNumId w:val="10"/>
  </w:num>
  <w:num w:numId="33">
    <w:abstractNumId w:val="3"/>
  </w:num>
  <w:num w:numId="34">
    <w:abstractNumId w:val="38"/>
  </w:num>
  <w:num w:numId="35">
    <w:abstractNumId w:val="7"/>
  </w:num>
  <w:num w:numId="36">
    <w:abstractNumId w:val="16"/>
  </w:num>
  <w:num w:numId="37">
    <w:abstractNumId w:val="31"/>
  </w:num>
  <w:num w:numId="38">
    <w:abstractNumId w:val="37"/>
  </w:num>
  <w:num w:numId="39">
    <w:abstractNumId w:val="18"/>
  </w:num>
  <w:num w:numId="40">
    <w:abstractNumId w:val="11"/>
  </w:num>
  <w:num w:numId="41">
    <w:abstractNumId w:val="34"/>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5"/>
    <w:rsid w:val="00014FE4"/>
    <w:rsid w:val="0002505C"/>
    <w:rsid w:val="00082059"/>
    <w:rsid w:val="000B0972"/>
    <w:rsid w:val="0014413B"/>
    <w:rsid w:val="001807E0"/>
    <w:rsid w:val="002155A2"/>
    <w:rsid w:val="00262785"/>
    <w:rsid w:val="00294817"/>
    <w:rsid w:val="002B5187"/>
    <w:rsid w:val="002F7DF8"/>
    <w:rsid w:val="003035A5"/>
    <w:rsid w:val="003518D1"/>
    <w:rsid w:val="00366526"/>
    <w:rsid w:val="0038179C"/>
    <w:rsid w:val="0038223E"/>
    <w:rsid w:val="00415E85"/>
    <w:rsid w:val="00461DEF"/>
    <w:rsid w:val="004831A2"/>
    <w:rsid w:val="00490A1A"/>
    <w:rsid w:val="00543009"/>
    <w:rsid w:val="00577F84"/>
    <w:rsid w:val="00583780"/>
    <w:rsid w:val="00605356"/>
    <w:rsid w:val="00613D4F"/>
    <w:rsid w:val="0063325F"/>
    <w:rsid w:val="00701325"/>
    <w:rsid w:val="00750306"/>
    <w:rsid w:val="00767F55"/>
    <w:rsid w:val="00794CB2"/>
    <w:rsid w:val="007B014D"/>
    <w:rsid w:val="007B24D7"/>
    <w:rsid w:val="007B41E6"/>
    <w:rsid w:val="0088607E"/>
    <w:rsid w:val="00954D16"/>
    <w:rsid w:val="00981465"/>
    <w:rsid w:val="009D1F5C"/>
    <w:rsid w:val="00A02454"/>
    <w:rsid w:val="00A15E38"/>
    <w:rsid w:val="00A43801"/>
    <w:rsid w:val="00A64D9D"/>
    <w:rsid w:val="00AA5E46"/>
    <w:rsid w:val="00AD1DEC"/>
    <w:rsid w:val="00B16C90"/>
    <w:rsid w:val="00B36339"/>
    <w:rsid w:val="00BA0F3E"/>
    <w:rsid w:val="00C261F5"/>
    <w:rsid w:val="00C63AC6"/>
    <w:rsid w:val="00CA15F5"/>
    <w:rsid w:val="00CA6D8B"/>
    <w:rsid w:val="00CD26C4"/>
    <w:rsid w:val="00CF6A7E"/>
    <w:rsid w:val="00D22903"/>
    <w:rsid w:val="00D25A07"/>
    <w:rsid w:val="00D71228"/>
    <w:rsid w:val="00DD6D7C"/>
    <w:rsid w:val="00E021F2"/>
    <w:rsid w:val="00E0519E"/>
    <w:rsid w:val="00E44D1F"/>
    <w:rsid w:val="00EE2E30"/>
    <w:rsid w:val="00F51E75"/>
    <w:rsid w:val="00F70951"/>
    <w:rsid w:val="00FA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D8798"/>
  <w15:chartTrackingRefBased/>
  <w15:docId w15:val="{F97DCF2B-A0AC-4EC4-884B-ECA29F2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AF"/>
    <w:pPr>
      <w:spacing w:after="120" w:line="240" w:lineRule="auto"/>
    </w:pPr>
  </w:style>
  <w:style w:type="paragraph" w:styleId="Heading1">
    <w:name w:val="heading 1"/>
    <w:aliases w:val="TSB Headings"/>
    <w:basedOn w:val="Normal"/>
    <w:next w:val="Normal"/>
    <w:link w:val="Heading1Char"/>
    <w:uiPriority w:val="9"/>
    <w:qFormat/>
    <w:rsid w:val="00D25A07"/>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styleId="List2">
    <w:name w:val="List 2"/>
    <w:basedOn w:val="Normal"/>
    <w:rsid w:val="00F51E75"/>
    <w:pPr>
      <w:overflowPunct w:val="0"/>
      <w:autoSpaceDE w:val="0"/>
      <w:autoSpaceDN w:val="0"/>
      <w:adjustRightInd w:val="0"/>
      <w:spacing w:after="0"/>
      <w:ind w:left="566" w:hanging="283"/>
      <w:textAlignment w:val="baseline"/>
    </w:pPr>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CA6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raisingregulator.org.uk/code"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B11C9-3632-4D04-A8CE-0F374435E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25FC4-7DD3-44D0-929B-18C0BEFBD505}">
  <ds:schemaRefs>
    <ds:schemaRef ds:uri="http://schemas.openxmlformats.org/officeDocument/2006/bibliography"/>
  </ds:schemaRefs>
</ds:datastoreItem>
</file>

<file path=customXml/itemProps3.xml><?xml version="1.0" encoding="utf-8"?>
<ds:datastoreItem xmlns:ds="http://schemas.openxmlformats.org/officeDocument/2006/customXml" ds:itemID="{CFBE4F91-4A12-4455-B138-16E23F9F3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758010-AE7F-4340-9643-7166883C4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Putnam</dc:creator>
  <cp:keywords/>
  <dc:description/>
  <cp:lastModifiedBy>Cherie Padmore</cp:lastModifiedBy>
  <cp:revision>2</cp:revision>
  <cp:lastPrinted>2020-08-12T13:52:00Z</cp:lastPrinted>
  <dcterms:created xsi:type="dcterms:W3CDTF">2021-01-29T08:56:00Z</dcterms:created>
  <dcterms:modified xsi:type="dcterms:W3CDTF">2021-01-29T08:56:00Z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